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D53E4">
      <w:pPr>
        <w:spacing w:after="120" w:line="240" w:lineRule="auto"/>
        <w:ind w:right="-31"/>
        <w:jc w:val="right"/>
        <w:rPr>
          <w:rFonts w:ascii="Times New Roman" w:hAnsi="Times New Roman" w:cs="Times New Roman"/>
          <w:sz w:val="28"/>
          <w:szCs w:val="28"/>
        </w:rPr>
      </w:pPr>
      <w:bookmarkStart w:id="27" w:name="_GoBack"/>
      <w:bookmarkEnd w:id="27"/>
      <w:r>
        <w:rPr>
          <w:rFonts w:ascii="Times New Roman" w:hAnsi="Times New Roman" w:cs="Times New Roman"/>
          <w:sz w:val="28"/>
          <w:szCs w:val="28"/>
        </w:rPr>
        <w:t>(Ministru kabineta</w:t>
      </w:r>
    </w:p>
    <w:p w14:paraId="1468144B">
      <w:pPr>
        <w:spacing w:after="120" w:line="240" w:lineRule="auto"/>
        <w:ind w:right="-31"/>
        <w:jc w:val="right"/>
        <w:rPr>
          <w:rFonts w:ascii="Times New Roman" w:hAnsi="Times New Roman" w:cs="Times New Roman"/>
          <w:sz w:val="28"/>
          <w:szCs w:val="28"/>
        </w:rPr>
      </w:pPr>
      <w:r>
        <w:rPr>
          <w:rFonts w:ascii="Times New Roman" w:hAnsi="Times New Roman" w:cs="Times New Roman"/>
          <w:sz w:val="28"/>
          <w:szCs w:val="28"/>
        </w:rPr>
        <w:t>2024. gada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w:t>
      </w:r>
    </w:p>
    <w:p w14:paraId="77DF3924">
      <w:pPr>
        <w:tabs>
          <w:tab w:val="left" w:pos="9020"/>
        </w:tabs>
        <w:spacing w:after="120" w:line="240" w:lineRule="auto"/>
        <w:ind w:right="-31"/>
        <w:jc w:val="right"/>
        <w:rPr>
          <w:rFonts w:ascii="Times New Roman" w:hAnsi="Times New Roman" w:cs="Times New Roman"/>
          <w:sz w:val="28"/>
          <w:szCs w:val="28"/>
        </w:rPr>
      </w:pPr>
      <w:r>
        <w:rPr>
          <w:rFonts w:ascii="Times New Roman" w:hAnsi="Times New Roman" w:cs="Times New Roman"/>
          <w:sz w:val="28"/>
          <w:szCs w:val="28"/>
        </w:rPr>
        <w:t>rīkojums Nr. )</w:t>
      </w:r>
    </w:p>
    <w:p w14:paraId="49A00740">
      <w:pPr>
        <w:tabs>
          <w:tab w:val="left" w:pos="8300"/>
        </w:tabs>
        <w:spacing w:before="60" w:after="120" w:line="240" w:lineRule="auto"/>
        <w:rPr>
          <w:rFonts w:ascii="Times New Roman" w:hAnsi="Times New Roman" w:cs="Times New Roman"/>
          <w:b/>
          <w:sz w:val="28"/>
          <w:szCs w:val="24"/>
        </w:rPr>
      </w:pPr>
      <w:r>
        <w:rPr>
          <w:rFonts w:ascii="Times New Roman" w:hAnsi="Times New Roman" w:cs="Times New Roman"/>
          <w:b/>
          <w:sz w:val="28"/>
          <w:szCs w:val="24"/>
        </w:rPr>
        <w:tab/>
      </w:r>
    </w:p>
    <w:p w14:paraId="1B42EEC1">
      <w:pPr>
        <w:spacing w:before="60" w:after="120" w:line="240" w:lineRule="auto"/>
        <w:jc w:val="center"/>
        <w:rPr>
          <w:rFonts w:ascii="Times New Roman" w:hAnsi="Times New Roman" w:cs="Times New Roman"/>
          <w:b/>
          <w:sz w:val="28"/>
          <w:szCs w:val="24"/>
        </w:rPr>
      </w:pPr>
    </w:p>
    <w:p w14:paraId="71CE270B">
      <w:pPr>
        <w:spacing w:before="60" w:after="120" w:line="240" w:lineRule="auto"/>
        <w:jc w:val="center"/>
        <w:rPr>
          <w:rFonts w:ascii="Times New Roman" w:hAnsi="Times New Roman" w:cs="Times New Roman"/>
          <w:b/>
          <w:sz w:val="28"/>
          <w:szCs w:val="24"/>
        </w:rPr>
      </w:pPr>
    </w:p>
    <w:p w14:paraId="0CBCD566">
      <w:pPr>
        <w:spacing w:before="60" w:after="120" w:line="240" w:lineRule="auto"/>
        <w:jc w:val="center"/>
        <w:rPr>
          <w:rFonts w:ascii="Times New Roman" w:hAnsi="Times New Roman" w:cs="Times New Roman"/>
          <w:b/>
          <w:sz w:val="28"/>
          <w:szCs w:val="24"/>
        </w:rPr>
      </w:pPr>
    </w:p>
    <w:p w14:paraId="43535C08">
      <w:pPr>
        <w:spacing w:before="60" w:after="120" w:line="240" w:lineRule="auto"/>
        <w:jc w:val="center"/>
        <w:rPr>
          <w:rFonts w:ascii="Times New Roman" w:hAnsi="Times New Roman" w:cs="Times New Roman"/>
          <w:b/>
          <w:sz w:val="28"/>
          <w:szCs w:val="28"/>
        </w:rPr>
      </w:pPr>
    </w:p>
    <w:p w14:paraId="6FFE7EA9">
      <w:pPr>
        <w:spacing w:before="60" w:after="120" w:line="240" w:lineRule="auto"/>
        <w:jc w:val="center"/>
        <w:rPr>
          <w:rFonts w:ascii="Times New Roman" w:hAnsi="Times New Roman" w:cs="Times New Roman"/>
          <w:b/>
          <w:sz w:val="28"/>
          <w:szCs w:val="28"/>
        </w:rPr>
      </w:pPr>
    </w:p>
    <w:p w14:paraId="114E1ED8">
      <w:pPr>
        <w:spacing w:before="60" w:after="120" w:line="240" w:lineRule="auto"/>
        <w:jc w:val="center"/>
        <w:rPr>
          <w:rFonts w:ascii="Times New Roman" w:hAnsi="Times New Roman" w:cs="Times New Roman"/>
          <w:b/>
          <w:sz w:val="28"/>
          <w:szCs w:val="28"/>
        </w:rPr>
      </w:pPr>
    </w:p>
    <w:p w14:paraId="7D020B46">
      <w:pPr>
        <w:spacing w:before="60" w:after="120" w:line="240" w:lineRule="auto"/>
        <w:jc w:val="center"/>
        <w:rPr>
          <w:rFonts w:ascii="Times New Roman" w:hAnsi="Times New Roman" w:cs="Times New Roman"/>
          <w:b/>
          <w:sz w:val="28"/>
          <w:szCs w:val="28"/>
        </w:rPr>
      </w:pPr>
    </w:p>
    <w:p w14:paraId="52776F38">
      <w:pPr>
        <w:spacing w:before="60" w:after="120" w:line="240" w:lineRule="auto"/>
        <w:jc w:val="center"/>
        <w:rPr>
          <w:rFonts w:ascii="Times New Roman" w:hAnsi="Times New Roman" w:cs="Times New Roman"/>
          <w:b/>
          <w:sz w:val="28"/>
          <w:szCs w:val="28"/>
        </w:rPr>
      </w:pPr>
    </w:p>
    <w:p w14:paraId="4AF29BAC">
      <w:pPr>
        <w:spacing w:before="60" w:after="120" w:line="240" w:lineRule="auto"/>
        <w:jc w:val="center"/>
        <w:rPr>
          <w:rFonts w:ascii="Times New Roman" w:hAnsi="Times New Roman" w:cs="Times New Roman"/>
          <w:b/>
          <w:sz w:val="28"/>
          <w:szCs w:val="28"/>
        </w:rPr>
      </w:pPr>
    </w:p>
    <w:p w14:paraId="584AF7A4">
      <w:pPr>
        <w:spacing w:before="60" w:after="120" w:line="240" w:lineRule="auto"/>
        <w:jc w:val="center"/>
        <w:rPr>
          <w:rFonts w:ascii="Times New Roman" w:hAnsi="Times New Roman" w:cs="Times New Roman"/>
          <w:b/>
          <w:sz w:val="28"/>
          <w:szCs w:val="28"/>
        </w:rPr>
      </w:pPr>
    </w:p>
    <w:p w14:paraId="4F0B2678">
      <w:pPr>
        <w:spacing w:before="60" w:after="120" w:line="240" w:lineRule="auto"/>
        <w:jc w:val="center"/>
        <w:rPr>
          <w:rFonts w:ascii="Times New Roman" w:hAnsi="Times New Roman" w:cs="Times New Roman"/>
          <w:b/>
          <w:sz w:val="28"/>
          <w:szCs w:val="28"/>
        </w:rPr>
      </w:pPr>
    </w:p>
    <w:p w14:paraId="79CFA5E7">
      <w:pPr>
        <w:spacing w:before="60" w:after="12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Rīcības plāns Latvijas Austrumu pierobežas ekonomiskajai izaugsmei un </w:t>
      </w:r>
      <w:r>
        <w:rPr>
          <w:rFonts w:ascii="Times New Roman" w:hAnsi="Times New Roman" w:cs="Times New Roman"/>
          <w:b/>
          <w:sz w:val="28"/>
          <w:szCs w:val="28"/>
        </w:rPr>
        <w:t xml:space="preserve">drošības stiprināšanai </w:t>
      </w:r>
      <w:r>
        <w:rPr>
          <w:rFonts w:ascii="Times New Roman" w:hAnsi="Times New Roman" w:cs="Times New Roman"/>
          <w:b/>
          <w:sz w:val="28"/>
          <w:szCs w:val="24"/>
        </w:rPr>
        <w:t>2025.–2027. gadam</w:t>
      </w:r>
    </w:p>
    <w:p w14:paraId="73FC9262">
      <w:pPr>
        <w:pStyle w:val="58"/>
        <w:spacing w:before="0" w:after="120"/>
        <w:ind w:firstLine="300"/>
        <w:jc w:val="right"/>
        <w:rPr>
          <w:sz w:val="20"/>
          <w:szCs w:val="20"/>
        </w:rPr>
      </w:pPr>
      <w:r>
        <w:rPr>
          <w:sz w:val="20"/>
          <w:szCs w:val="20"/>
        </w:rPr>
        <w:drawing>
          <wp:inline distT="0" distB="0" distL="0" distR="0">
            <wp:extent cx="3195320" cy="3770630"/>
            <wp:effectExtent l="0" t="0" r="5080" b="1270"/>
            <wp:docPr id="1339895793" name="Content Placeholder 12"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95793" name="Content Placeholder 12" descr="A map of a country&#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t="5409" b="1801"/>
                    <a:stretch>
                      <a:fillRect/>
                    </a:stretch>
                  </pic:blipFill>
                  <pic:spPr>
                    <a:xfrm>
                      <a:off x="0" y="0"/>
                      <a:ext cx="3239699" cy="3822772"/>
                    </a:xfrm>
                    <a:prstGeom prst="rect">
                      <a:avLst/>
                    </a:prstGeom>
                  </pic:spPr>
                </pic:pic>
              </a:graphicData>
            </a:graphic>
          </wp:inline>
        </w:drawing>
      </w:r>
    </w:p>
    <w:p w14:paraId="3B88B6E2">
      <w:pPr>
        <w:pStyle w:val="58"/>
        <w:spacing w:before="0" w:after="120"/>
        <w:ind w:firstLine="300"/>
        <w:jc w:val="both"/>
        <w:rPr>
          <w:sz w:val="20"/>
          <w:szCs w:val="20"/>
        </w:rPr>
      </w:pPr>
    </w:p>
    <w:p w14:paraId="1F989FED">
      <w:pPr>
        <w:tabs>
          <w:tab w:val="left" w:pos="9020"/>
        </w:tabs>
        <w:spacing w:after="120" w:line="240" w:lineRule="auto"/>
        <w:jc w:val="center"/>
        <w:rPr>
          <w:rFonts w:ascii="Times New Roman" w:hAnsi="Times New Roman" w:cs="Times New Roman"/>
          <w:sz w:val="28"/>
          <w:szCs w:val="28"/>
        </w:rPr>
      </w:pPr>
      <w:r>
        <w:rPr>
          <w:rFonts w:ascii="Times New Roman" w:hAnsi="Times New Roman" w:cs="Times New Roman"/>
          <w:sz w:val="28"/>
          <w:szCs w:val="28"/>
        </w:rPr>
        <w:t xml:space="preserve">Rīga, </w:t>
      </w:r>
      <w:bookmarkStart w:id="0" w:name="_Toc253645093"/>
      <w:bookmarkStart w:id="1" w:name="_Toc245796853"/>
      <w:bookmarkStart w:id="2" w:name="_Toc245796709"/>
      <w:bookmarkStart w:id="3" w:name="_Toc245796810"/>
      <w:bookmarkStart w:id="4" w:name="_Toc253489615"/>
      <w:bookmarkStart w:id="5" w:name="_Toc247620525"/>
      <w:bookmarkStart w:id="6" w:name="_Toc254101002"/>
      <w:bookmarkStart w:id="7" w:name="_Toc267927544"/>
      <w:bookmarkStart w:id="8" w:name="_Toc254101101"/>
      <w:bookmarkStart w:id="9" w:name="_Toc254100326"/>
      <w:bookmarkStart w:id="10" w:name="_Toc254177055"/>
      <w:bookmarkStart w:id="11" w:name="_Toc267928672"/>
      <w:bookmarkStart w:id="12" w:name="_Toc267927883"/>
      <w:bookmarkStart w:id="13" w:name="_Toc267995195"/>
      <w:r>
        <w:rPr>
          <w:rFonts w:ascii="Times New Roman" w:hAnsi="Times New Roman" w:cs="Times New Roman"/>
          <w:sz w:val="28"/>
          <w:szCs w:val="28"/>
        </w:rPr>
        <w:t>2024</w:t>
      </w:r>
    </w:p>
    <w:bookmarkEnd w:id="0"/>
    <w:bookmarkEnd w:id="1"/>
    <w:bookmarkEnd w:id="2"/>
    <w:bookmarkEnd w:id="3"/>
    <w:bookmarkEnd w:id="4"/>
    <w:bookmarkEnd w:id="5"/>
    <w:bookmarkEnd w:id="6"/>
    <w:bookmarkEnd w:id="7"/>
    <w:bookmarkEnd w:id="8"/>
    <w:bookmarkEnd w:id="9"/>
    <w:bookmarkEnd w:id="10"/>
    <w:bookmarkEnd w:id="11"/>
    <w:bookmarkEnd w:id="12"/>
    <w:bookmarkEnd w:id="13"/>
    <w:p w14:paraId="0057C1F8">
      <w:pPr>
        <w:pStyle w:val="52"/>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Saturs</w:t>
      </w:r>
    </w:p>
    <w:p w14:paraId="05CE9494">
      <w:pPr>
        <w:spacing w:line="240" w:lineRule="auto"/>
        <w:rPr>
          <w:rFonts w:ascii="Times New Roman" w:hAnsi="Times New Roman" w:cs="Times New Roman"/>
          <w:b/>
          <w:bCs/>
          <w:sz w:val="28"/>
          <w:szCs w:val="28"/>
        </w:rPr>
      </w:pPr>
    </w:p>
    <w:sdt>
      <w:sdtPr>
        <w:rPr>
          <w:rFonts w:ascii="Times New Roman" w:hAnsi="Times New Roman" w:cs="Times New Roman"/>
        </w:rPr>
        <w:id w:val="1378607918"/>
        <w:docPartObj>
          <w:docPartGallery w:val="Table of Contents"/>
          <w:docPartUnique/>
        </w:docPartObj>
      </w:sdtPr>
      <w:sdtEndPr>
        <w:rPr>
          <w:rFonts w:ascii="Times New Roman" w:hAnsi="Times New Roman" w:cs="Times New Roman"/>
        </w:rPr>
      </w:sdtEndPr>
      <w:sdtContent>
        <w:p w14:paraId="16B5DCB1">
          <w:pPr>
            <w:pStyle w:val="30"/>
            <w:tabs>
              <w:tab w:val="right" w:leader="dot" w:pos="9628"/>
            </w:tabs>
            <w:spacing w:after="120" w:line="240" w:lineRule="auto"/>
            <w:rPr>
              <w:rFonts w:ascii="Times New Roman" w:hAnsi="Times New Roman" w:cs="Times New Roman" w:eastAsiaTheme="minorEastAsia"/>
              <w:sz w:val="24"/>
              <w:szCs w:val="24"/>
              <w:lang w:eastAsia="lv-LV"/>
            </w:rPr>
          </w:pPr>
          <w:r>
            <w:rPr>
              <w:rFonts w:ascii="Times New Roman" w:hAnsi="Times New Roman" w:cs="Times New Roman"/>
            </w:rPr>
            <w:fldChar w:fldCharType="begin"/>
          </w:r>
          <w:r>
            <w:rPr>
              <w:rFonts w:ascii="Times New Roman" w:hAnsi="Times New Roman" w:cs="Times New Roman"/>
            </w:rPr>
            <w:instrText xml:space="preserve">TOC \o "1-3" \z \u \h</w:instrText>
          </w:r>
          <w:r>
            <w:rPr>
              <w:rFonts w:ascii="Times New Roman" w:hAnsi="Times New Roman" w:cs="Times New Roman"/>
            </w:rPr>
            <w:fldChar w:fldCharType="separate"/>
          </w:r>
          <w:r>
            <w:fldChar w:fldCharType="begin"/>
          </w:r>
          <w:r>
            <w:instrText xml:space="preserve"> HYPERLINK \l "_Toc180574008" </w:instrText>
          </w:r>
          <w:r>
            <w:fldChar w:fldCharType="separate"/>
          </w:r>
          <w:r>
            <w:rPr>
              <w:rStyle w:val="24"/>
              <w:rFonts w:ascii="Times New Roman" w:hAnsi="Times New Roman" w:cs="Times New Roman"/>
              <w:sz w:val="24"/>
              <w:szCs w:val="24"/>
            </w:rPr>
            <w:t>Saīsinājumu saraksts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_Toc180574008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9E02CAB">
          <w:pPr>
            <w:pStyle w:val="30"/>
            <w:tabs>
              <w:tab w:val="right" w:leader="dot" w:pos="9628"/>
            </w:tabs>
            <w:spacing w:after="120" w:line="240" w:lineRule="auto"/>
            <w:rPr>
              <w:rFonts w:ascii="Times New Roman" w:hAnsi="Times New Roman" w:cs="Times New Roman" w:eastAsiaTheme="minorEastAsia"/>
              <w:sz w:val="24"/>
              <w:szCs w:val="24"/>
              <w:lang w:eastAsia="lv-LV"/>
            </w:rPr>
          </w:pPr>
          <w:r>
            <w:fldChar w:fldCharType="begin"/>
          </w:r>
          <w:r>
            <w:instrText xml:space="preserve"> HYPERLINK \l "_Toc180574009" </w:instrText>
          </w:r>
          <w:r>
            <w:fldChar w:fldCharType="separate"/>
          </w:r>
          <w:r>
            <w:rPr>
              <w:rStyle w:val="24"/>
              <w:rFonts w:ascii="Times New Roman" w:hAnsi="Times New Roman" w:cs="Times New Roman"/>
              <w:sz w:val="24"/>
              <w:szCs w:val="24"/>
            </w:rPr>
            <w:t>Ievads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_Toc180574009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81E8912">
          <w:pPr>
            <w:pStyle w:val="30"/>
            <w:tabs>
              <w:tab w:val="right" w:leader="dot" w:pos="9628"/>
            </w:tabs>
            <w:spacing w:after="120" w:line="240" w:lineRule="auto"/>
            <w:rPr>
              <w:rFonts w:ascii="Times New Roman" w:hAnsi="Times New Roman" w:cs="Times New Roman" w:eastAsiaTheme="minorEastAsia"/>
              <w:sz w:val="24"/>
              <w:szCs w:val="24"/>
              <w:lang w:eastAsia="lv-LV"/>
            </w:rPr>
          </w:pPr>
          <w:r>
            <w:fldChar w:fldCharType="begin"/>
          </w:r>
          <w:r>
            <w:instrText xml:space="preserve"> HYPERLINK \l "_Toc180574010" </w:instrText>
          </w:r>
          <w:r>
            <w:fldChar w:fldCharType="separate"/>
          </w:r>
          <w:r>
            <w:rPr>
              <w:rStyle w:val="24"/>
              <w:rFonts w:ascii="Times New Roman" w:hAnsi="Times New Roman" w:cs="Times New Roman"/>
              <w:sz w:val="24"/>
              <w:szCs w:val="24"/>
            </w:rPr>
            <w:t>Kopsavilkums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_Toc180574010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67D2F10">
          <w:pPr>
            <w:pStyle w:val="30"/>
            <w:tabs>
              <w:tab w:val="left" w:pos="480"/>
              <w:tab w:val="right" w:leader="dot" w:pos="9628"/>
            </w:tabs>
            <w:spacing w:after="120" w:line="240" w:lineRule="auto"/>
            <w:rPr>
              <w:rFonts w:ascii="Times New Roman" w:hAnsi="Times New Roman" w:cs="Times New Roman" w:eastAsiaTheme="minorEastAsia"/>
              <w:sz w:val="24"/>
              <w:szCs w:val="24"/>
              <w:lang w:eastAsia="lv-LV"/>
            </w:rPr>
          </w:pPr>
          <w:r>
            <w:fldChar w:fldCharType="begin"/>
          </w:r>
          <w:r>
            <w:instrText xml:space="preserve"> HYPERLINK \l "_Toc180574011" </w:instrText>
          </w:r>
          <w:r>
            <w:fldChar w:fldCharType="separate"/>
          </w:r>
          <w:r>
            <w:rPr>
              <w:rStyle w:val="24"/>
              <w:rFonts w:ascii="Times New Roman" w:hAnsi="Times New Roman" w:cs="Times New Roman"/>
              <w:sz w:val="24"/>
              <w:szCs w:val="24"/>
            </w:rPr>
            <w:t>1.</w:t>
          </w:r>
          <w:r>
            <w:rPr>
              <w:rFonts w:ascii="Times New Roman" w:hAnsi="Times New Roman" w:cs="Times New Roman" w:eastAsiaTheme="minorEastAsia"/>
              <w:sz w:val="24"/>
              <w:szCs w:val="24"/>
              <w:lang w:eastAsia="lv-LV"/>
            </w:rPr>
            <w:tab/>
          </w:r>
          <w:r>
            <w:rPr>
              <w:rStyle w:val="24"/>
              <w:rFonts w:ascii="Times New Roman" w:hAnsi="Times New Roman" w:cs="Times New Roman"/>
              <w:sz w:val="24"/>
              <w:szCs w:val="24"/>
            </w:rPr>
            <w:t>Esošās situācijas raksturojums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_Toc180574011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B834324">
          <w:pPr>
            <w:pStyle w:val="30"/>
            <w:tabs>
              <w:tab w:val="left" w:pos="480"/>
              <w:tab w:val="right" w:leader="dot" w:pos="9628"/>
            </w:tabs>
            <w:spacing w:after="120" w:line="240" w:lineRule="auto"/>
            <w:rPr>
              <w:rFonts w:ascii="Times New Roman" w:hAnsi="Times New Roman" w:cs="Times New Roman" w:eastAsiaTheme="minorEastAsia"/>
              <w:sz w:val="24"/>
              <w:szCs w:val="24"/>
              <w:lang w:eastAsia="lv-LV"/>
            </w:rPr>
          </w:pPr>
          <w:r>
            <w:fldChar w:fldCharType="begin"/>
          </w:r>
          <w:r>
            <w:instrText xml:space="preserve"> HYPERLINK \l "_Toc180574012" </w:instrText>
          </w:r>
          <w:r>
            <w:fldChar w:fldCharType="separate"/>
          </w:r>
          <w:r>
            <w:rPr>
              <w:rStyle w:val="24"/>
              <w:rFonts w:ascii="Times New Roman" w:hAnsi="Times New Roman" w:cs="Times New Roman"/>
              <w:sz w:val="24"/>
              <w:szCs w:val="24"/>
            </w:rPr>
            <w:t>2.</w:t>
          </w:r>
          <w:r>
            <w:rPr>
              <w:rFonts w:ascii="Times New Roman" w:hAnsi="Times New Roman" w:cs="Times New Roman" w:eastAsiaTheme="minorEastAsia"/>
              <w:sz w:val="24"/>
              <w:szCs w:val="24"/>
              <w:lang w:eastAsia="lv-LV"/>
            </w:rPr>
            <w:tab/>
          </w:r>
          <w:r>
            <w:rPr>
              <w:rStyle w:val="24"/>
              <w:rFonts w:ascii="Times New Roman" w:hAnsi="Times New Roman" w:cs="Times New Roman"/>
              <w:sz w:val="24"/>
              <w:szCs w:val="24"/>
            </w:rPr>
            <w:t>Plāna mērķis un rīcības virzieni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_Toc180574012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5B39D1C">
          <w:pPr>
            <w:pStyle w:val="30"/>
            <w:tabs>
              <w:tab w:val="left" w:pos="480"/>
              <w:tab w:val="right" w:leader="dot" w:pos="9628"/>
            </w:tabs>
            <w:spacing w:after="120" w:line="240" w:lineRule="auto"/>
            <w:rPr>
              <w:rFonts w:ascii="Times New Roman" w:hAnsi="Times New Roman" w:cs="Times New Roman" w:eastAsiaTheme="minorEastAsia"/>
              <w:sz w:val="24"/>
              <w:szCs w:val="24"/>
              <w:lang w:eastAsia="lv-LV"/>
            </w:rPr>
          </w:pPr>
          <w:r>
            <w:fldChar w:fldCharType="begin"/>
          </w:r>
          <w:r>
            <w:instrText xml:space="preserve"> HYPERLINK \l "_Toc180574013" </w:instrText>
          </w:r>
          <w:r>
            <w:fldChar w:fldCharType="separate"/>
          </w:r>
          <w:r>
            <w:rPr>
              <w:rStyle w:val="24"/>
              <w:rFonts w:ascii="Times New Roman" w:hAnsi="Times New Roman" w:cs="Times New Roman"/>
              <w:sz w:val="24"/>
              <w:szCs w:val="24"/>
            </w:rPr>
            <w:t>3.</w:t>
          </w:r>
          <w:r>
            <w:rPr>
              <w:rFonts w:ascii="Times New Roman" w:hAnsi="Times New Roman" w:cs="Times New Roman" w:eastAsiaTheme="minorEastAsia"/>
              <w:sz w:val="24"/>
              <w:szCs w:val="24"/>
              <w:lang w:eastAsia="lv-LV"/>
            </w:rPr>
            <w:tab/>
          </w:r>
          <w:r>
            <w:rPr>
              <w:rStyle w:val="24"/>
              <w:rFonts w:ascii="Times New Roman" w:hAnsi="Times New Roman" w:cs="Times New Roman"/>
              <w:sz w:val="24"/>
              <w:szCs w:val="24"/>
            </w:rPr>
            <w:t>Pasākumi izvirzītā mērķa sasniegšanai, darbības rezultāti un to rezultatīvie rādītāji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_Toc180574013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8D9CE40">
          <w:pPr>
            <w:pStyle w:val="30"/>
            <w:tabs>
              <w:tab w:val="right" w:leader="dot" w:pos="9615"/>
            </w:tabs>
            <w:spacing w:after="120" w:line="240" w:lineRule="auto"/>
            <w:rPr>
              <w:rStyle w:val="24"/>
              <w:rFonts w:ascii="Times New Roman" w:hAnsi="Times New Roman" w:cs="Times New Roman"/>
              <w:lang w:eastAsia="lv-LV"/>
            </w:rPr>
          </w:pPr>
          <w:r>
            <w:rPr>
              <w:rFonts w:ascii="Times New Roman" w:hAnsi="Times New Roman" w:cs="Times New Roman"/>
            </w:rPr>
            <w:fldChar w:fldCharType="end"/>
          </w:r>
        </w:p>
      </w:sdtContent>
    </w:sdt>
    <w:p w14:paraId="2BD670FB">
      <w:pPr>
        <w:pStyle w:val="75"/>
        <w:spacing w:before="0" w:after="120"/>
        <w:rPr>
          <w:rFonts w:cs="Times New Roman"/>
          <w:b/>
          <w:sz w:val="24"/>
          <w:szCs w:val="24"/>
          <w:lang w:val="lv-LV"/>
        </w:rPr>
      </w:pPr>
      <w:r>
        <w:rPr>
          <w:rFonts w:cs="Times New Roman"/>
          <w:b/>
          <w:sz w:val="24"/>
          <w:szCs w:val="24"/>
          <w:lang w:val="lv-LV"/>
        </w:rPr>
        <w:t>Pielikumi</w:t>
      </w:r>
    </w:p>
    <w:p w14:paraId="01DFF05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1.pielikums. Rīcības plāna sasaiste ar citiem attīstības plānošanas dokumentiem, attiecīgās nozares prioritātēm, tiesību aktiem, Eiropas Savienības tiesību aktiem un Eiropas Savienības politiku instrumentiem</w:t>
      </w:r>
    </w:p>
    <w:p w14:paraId="404D3DC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2.pielikums. Kritēriji un kārtība, kādā tiks izvērtēti pašvaldību sākotnēji iesniegtie priekšlikumi mobilitātes un pakalpojumu infrastruktūras jomās divējādas lietojamības kontekstā</w:t>
      </w:r>
    </w:p>
    <w:p w14:paraId="586AE80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3.pielikums. Pasākumi, kuriem pašlaik nav piešķirts nepieciešamais valsts budžeta finansējums vai nav vienošanās starp institūcijām</w:t>
      </w:r>
    </w:p>
    <w:p w14:paraId="33F095C9">
      <w:pPr>
        <w:spacing w:line="240" w:lineRule="auto"/>
        <w:rPr>
          <w:rStyle w:val="57"/>
          <w:rFonts w:ascii="Times New Roman" w:hAnsi="Times New Roman" w:cs="Times New Roman"/>
          <w:sz w:val="24"/>
          <w:szCs w:val="24"/>
        </w:rPr>
      </w:pPr>
    </w:p>
    <w:p w14:paraId="6B40A170">
      <w:pPr>
        <w:spacing w:line="240" w:lineRule="auto"/>
        <w:rPr>
          <w:rStyle w:val="57"/>
          <w:rFonts w:ascii="Times New Roman" w:hAnsi="Times New Roman" w:cs="Times New Roman"/>
          <w:sz w:val="24"/>
          <w:szCs w:val="24"/>
        </w:rPr>
      </w:pPr>
    </w:p>
    <w:p w14:paraId="3B49E0C3">
      <w:pPr>
        <w:spacing w:line="240" w:lineRule="auto"/>
        <w:rPr>
          <w:rStyle w:val="57"/>
          <w:rFonts w:ascii="Times New Roman" w:hAnsi="Times New Roman" w:cs="Times New Roman"/>
          <w:sz w:val="24"/>
          <w:szCs w:val="24"/>
        </w:rPr>
      </w:pPr>
    </w:p>
    <w:p w14:paraId="7325892A">
      <w:pPr>
        <w:spacing w:line="240" w:lineRule="auto"/>
        <w:rPr>
          <w:rFonts w:ascii="Times New Roman" w:hAnsi="Times New Roman" w:cs="Times New Roman"/>
          <w:sz w:val="24"/>
          <w:szCs w:val="24"/>
        </w:rPr>
      </w:pPr>
    </w:p>
    <w:p w14:paraId="181B01AC">
      <w:pPr>
        <w:spacing w:line="240" w:lineRule="auto"/>
        <w:rPr>
          <w:rFonts w:ascii="Times New Roman" w:hAnsi="Times New Roman" w:cs="Times New Roman"/>
          <w:sz w:val="24"/>
          <w:szCs w:val="24"/>
        </w:rPr>
      </w:pPr>
    </w:p>
    <w:p w14:paraId="7D94D4DF">
      <w:pPr>
        <w:spacing w:line="240" w:lineRule="auto"/>
        <w:rPr>
          <w:rFonts w:ascii="Times New Roman" w:hAnsi="Times New Roman" w:cs="Times New Roman"/>
          <w:b/>
          <w:bCs/>
          <w:sz w:val="24"/>
          <w:szCs w:val="24"/>
        </w:rPr>
      </w:pPr>
      <w:r>
        <w:rPr>
          <w:rFonts w:ascii="Times New Roman" w:hAnsi="Times New Roman" w:cs="Times New Roman"/>
          <w:b/>
          <w:bCs/>
          <w:sz w:val="24"/>
          <w:szCs w:val="24"/>
        </w:rPr>
        <w:br w:type="page"/>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0"/>
        <w:gridCol w:w="7421"/>
      </w:tblGrid>
      <w:tr w14:paraId="6327B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01" w:type="dxa"/>
            <w:gridSpan w:val="2"/>
            <w:vAlign w:val="center"/>
          </w:tcPr>
          <w:p w14:paraId="35B1055E">
            <w:pPr>
              <w:pStyle w:val="2"/>
              <w:autoSpaceDN w:val="0"/>
              <w:rPr>
                <w:rFonts w:cs="Times New Roman"/>
                <w:kern w:val="0"/>
                <w14:ligatures w14:val="none"/>
              </w:rPr>
            </w:pPr>
            <w:bookmarkStart w:id="14" w:name="_Toc180574008"/>
            <w:r>
              <w:rPr>
                <w:rFonts w:cs="Times New Roman"/>
                <w:kern w:val="0"/>
                <w14:ligatures w14:val="none"/>
              </w:rPr>
              <w:t>Saīsinājumu saraksts</w:t>
            </w:r>
            <w:bookmarkEnd w:id="14"/>
          </w:p>
        </w:tc>
      </w:tr>
      <w:tr w14:paraId="02836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57558AB">
            <w:pPr>
              <w:autoSpaceDN w:val="0"/>
              <w:spacing w:after="0" w:line="240" w:lineRule="auto"/>
              <w:jc w:val="both"/>
              <w:rPr>
                <w:rFonts w:ascii="Times New Roman" w:hAnsi="Times New Roman" w:eastAsia="Calibri" w:cs="Times New Roman"/>
                <w:kern w:val="0"/>
                <w:sz w:val="24"/>
                <w:szCs w:val="24"/>
                <w14:ligatures w14:val="none"/>
              </w:rPr>
            </w:pPr>
          </w:p>
        </w:tc>
        <w:tc>
          <w:tcPr>
            <w:tcW w:w="7421" w:type="dxa"/>
          </w:tcPr>
          <w:p w14:paraId="41D77A81">
            <w:pPr>
              <w:autoSpaceDN w:val="0"/>
              <w:spacing w:after="0" w:line="240" w:lineRule="auto"/>
              <w:jc w:val="both"/>
              <w:rPr>
                <w:rFonts w:ascii="Times New Roman" w:hAnsi="Times New Roman" w:eastAsia="Calibri" w:cs="Times New Roman"/>
                <w:kern w:val="0"/>
                <w:sz w:val="24"/>
                <w:szCs w:val="24"/>
                <w14:ligatures w14:val="none"/>
              </w:rPr>
            </w:pPr>
          </w:p>
        </w:tc>
      </w:tr>
      <w:tr w14:paraId="25968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3ECCC9C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AiM</w:t>
            </w:r>
          </w:p>
        </w:tc>
        <w:tc>
          <w:tcPr>
            <w:tcW w:w="7421" w:type="dxa"/>
          </w:tcPr>
          <w:p w14:paraId="5164DD9C">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Aizsardzības ministrija</w:t>
            </w:r>
          </w:p>
        </w:tc>
      </w:tr>
      <w:tr w14:paraId="63528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63C8F00">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ANM</w:t>
            </w:r>
          </w:p>
        </w:tc>
        <w:tc>
          <w:tcPr>
            <w:tcW w:w="7421" w:type="dxa"/>
          </w:tcPr>
          <w:p w14:paraId="1C46CDD1">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Atveseļošanas un noturības mehānisms</w:t>
            </w:r>
          </w:p>
        </w:tc>
      </w:tr>
      <w:tr w14:paraId="699A5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330510D8">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CFLA</w:t>
            </w:r>
          </w:p>
        </w:tc>
        <w:tc>
          <w:tcPr>
            <w:tcW w:w="7421" w:type="dxa"/>
          </w:tcPr>
          <w:p w14:paraId="6463F42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Centrālā finanšu un līgumu aģentūra</w:t>
            </w:r>
          </w:p>
        </w:tc>
      </w:tr>
      <w:tr w14:paraId="6D748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82AA883">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CSP</w:t>
            </w:r>
          </w:p>
        </w:tc>
        <w:tc>
          <w:tcPr>
            <w:tcW w:w="7421" w:type="dxa"/>
          </w:tcPr>
          <w:p w14:paraId="478FA9D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Centrālā statistikas pārvalde</w:t>
            </w:r>
          </w:p>
        </w:tc>
      </w:tr>
      <w:tr w14:paraId="4B310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EE2A4A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EM</w:t>
            </w:r>
          </w:p>
        </w:tc>
        <w:tc>
          <w:tcPr>
            <w:tcW w:w="7421" w:type="dxa"/>
          </w:tcPr>
          <w:p w14:paraId="07D32B4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Ekonomikas ministrija</w:t>
            </w:r>
          </w:p>
        </w:tc>
      </w:tr>
      <w:tr w14:paraId="602AC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3A4E39D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ERAF</w:t>
            </w:r>
          </w:p>
        </w:tc>
        <w:tc>
          <w:tcPr>
            <w:tcW w:w="7421" w:type="dxa"/>
          </w:tcPr>
          <w:p w14:paraId="660EC865">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Eiropas Reģionālās attīstības fonds</w:t>
            </w:r>
          </w:p>
        </w:tc>
      </w:tr>
      <w:tr w14:paraId="6FC3E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F0A0DE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ES</w:t>
            </w:r>
          </w:p>
        </w:tc>
        <w:tc>
          <w:tcPr>
            <w:tcW w:w="7421" w:type="dxa"/>
          </w:tcPr>
          <w:p w14:paraId="1D46C0A9">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Eiropas Savienība</w:t>
            </w:r>
          </w:p>
        </w:tc>
      </w:tr>
      <w:tr w14:paraId="2CCFA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80A9307">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ESPON</w:t>
            </w:r>
          </w:p>
        </w:tc>
        <w:tc>
          <w:tcPr>
            <w:tcW w:w="7421" w:type="dxa"/>
          </w:tcPr>
          <w:p w14:paraId="78B7589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Eiropas Teritoriālās attīstības un kohēzijas novērošanas tīkls</w:t>
            </w:r>
          </w:p>
        </w:tc>
      </w:tr>
      <w:tr w14:paraId="26D31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7C95EED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FM</w:t>
            </w:r>
          </w:p>
        </w:tc>
        <w:tc>
          <w:tcPr>
            <w:tcW w:w="7421" w:type="dxa"/>
          </w:tcPr>
          <w:p w14:paraId="1EF7E32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Finanšu ministrija</w:t>
            </w:r>
          </w:p>
        </w:tc>
      </w:tr>
      <w:tr w14:paraId="0E6EB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288E5380">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IeM</w:t>
            </w:r>
          </w:p>
        </w:tc>
        <w:tc>
          <w:tcPr>
            <w:tcW w:w="7421" w:type="dxa"/>
          </w:tcPr>
          <w:p w14:paraId="77262BE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Iekšlietu ministrija</w:t>
            </w:r>
          </w:p>
        </w:tc>
      </w:tr>
      <w:tr w14:paraId="5DAF8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3497092D">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IeM IC</w:t>
            </w:r>
          </w:p>
        </w:tc>
        <w:tc>
          <w:tcPr>
            <w:tcW w:w="7421" w:type="dxa"/>
          </w:tcPr>
          <w:p w14:paraId="2147E1D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Iekšlietu ministrijas Informācijas centrs</w:t>
            </w:r>
          </w:p>
        </w:tc>
      </w:tr>
      <w:tr w14:paraId="598E1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1336DE0">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IIN</w:t>
            </w:r>
          </w:p>
        </w:tc>
        <w:tc>
          <w:tcPr>
            <w:tcW w:w="7421" w:type="dxa"/>
          </w:tcPr>
          <w:p w14:paraId="6D0AFCB8">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Iedzīvotāju ienākuma nodoklis</w:t>
            </w:r>
          </w:p>
        </w:tc>
      </w:tr>
      <w:tr w14:paraId="2BE8A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14DA3E31">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IKP</w:t>
            </w:r>
          </w:p>
        </w:tc>
        <w:tc>
          <w:tcPr>
            <w:tcW w:w="7421" w:type="dxa"/>
          </w:tcPr>
          <w:p w14:paraId="13908FC8">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Iekšzemes kopprodukts</w:t>
            </w:r>
          </w:p>
        </w:tc>
      </w:tr>
      <w:tr w14:paraId="1FB46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101C37BF">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IVN</w:t>
            </w:r>
          </w:p>
        </w:tc>
        <w:tc>
          <w:tcPr>
            <w:tcW w:w="7421" w:type="dxa"/>
          </w:tcPr>
          <w:p w14:paraId="259351C3">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Ietekmes uz vidi novērtējums</w:t>
            </w:r>
          </w:p>
        </w:tc>
      </w:tr>
      <w:tr w14:paraId="4F9B2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2D3DE07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IZM</w:t>
            </w:r>
          </w:p>
        </w:tc>
        <w:tc>
          <w:tcPr>
            <w:tcW w:w="7421" w:type="dxa"/>
          </w:tcPr>
          <w:p w14:paraId="39D8DCCB">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Izglītības un zinātnes ministrija</w:t>
            </w:r>
          </w:p>
        </w:tc>
      </w:tr>
      <w:tr w14:paraId="29BE0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05D07E3C">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JC</w:t>
            </w:r>
          </w:p>
        </w:tc>
        <w:tc>
          <w:tcPr>
            <w:tcW w:w="7421" w:type="dxa"/>
          </w:tcPr>
          <w:p w14:paraId="2A8775C7">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Jaunsardzes centrs</w:t>
            </w:r>
          </w:p>
        </w:tc>
      </w:tr>
      <w:tr w14:paraId="3E9DE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38B28DAC">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KEM</w:t>
            </w:r>
          </w:p>
        </w:tc>
        <w:tc>
          <w:tcPr>
            <w:tcW w:w="7421" w:type="dxa"/>
          </w:tcPr>
          <w:p w14:paraId="34F1E2FD">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Klimata un enerģētikas ministrija</w:t>
            </w:r>
          </w:p>
        </w:tc>
      </w:tr>
      <w:tr w14:paraId="4C37B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789CFB30">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KM</w:t>
            </w:r>
          </w:p>
        </w:tc>
        <w:tc>
          <w:tcPr>
            <w:tcW w:w="7421" w:type="dxa"/>
          </w:tcPr>
          <w:p w14:paraId="395D52A1">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Kultūras ministrija</w:t>
            </w:r>
          </w:p>
        </w:tc>
      </w:tr>
      <w:tr w14:paraId="7BD16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78D47B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KPR</w:t>
            </w:r>
          </w:p>
        </w:tc>
        <w:tc>
          <w:tcPr>
            <w:tcW w:w="7421" w:type="dxa"/>
          </w:tcPr>
          <w:p w14:paraId="3204C39F">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Kurzemes plānošanas reģions</w:t>
            </w:r>
          </w:p>
        </w:tc>
      </w:tr>
      <w:tr w14:paraId="5D3C4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0C95D26A">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LATO</w:t>
            </w:r>
          </w:p>
        </w:tc>
        <w:tc>
          <w:tcPr>
            <w:tcW w:w="7421" w:type="dxa"/>
          </w:tcPr>
          <w:p w14:paraId="6AB5D86A">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Transatlantiskā organizācija</w:t>
            </w:r>
          </w:p>
        </w:tc>
      </w:tr>
      <w:tr w14:paraId="0FC38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B679859">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LBTU</w:t>
            </w:r>
          </w:p>
        </w:tc>
        <w:tc>
          <w:tcPr>
            <w:tcW w:w="7421" w:type="dxa"/>
          </w:tcPr>
          <w:p w14:paraId="004C722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Biozinātņu un tehnoloģiju universitāte</w:t>
            </w:r>
          </w:p>
        </w:tc>
      </w:tr>
      <w:tr w14:paraId="30153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13F6F39F">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LDDK</w:t>
            </w:r>
          </w:p>
        </w:tc>
        <w:tc>
          <w:tcPr>
            <w:tcW w:w="7421" w:type="dxa"/>
          </w:tcPr>
          <w:p w14:paraId="03ECD788">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Darba devēju konfederācija</w:t>
            </w:r>
          </w:p>
        </w:tc>
      </w:tr>
      <w:tr w14:paraId="656C6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20423088">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LĢĀA </w:t>
            </w:r>
          </w:p>
        </w:tc>
        <w:tc>
          <w:tcPr>
            <w:tcW w:w="7421" w:type="dxa"/>
          </w:tcPr>
          <w:p w14:paraId="264CA541">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Ģimenes ārstu asociācija</w:t>
            </w:r>
          </w:p>
        </w:tc>
      </w:tr>
      <w:tr w14:paraId="391C2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45E4E6A">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LIAA</w:t>
            </w:r>
          </w:p>
        </w:tc>
        <w:tc>
          <w:tcPr>
            <w:tcW w:w="7421" w:type="dxa"/>
          </w:tcPr>
          <w:p w14:paraId="70F3193D">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Investīciju un attīstības aģentūra</w:t>
            </w:r>
          </w:p>
        </w:tc>
      </w:tr>
      <w:tr w14:paraId="257CB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2009CB6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LLĢĀA</w:t>
            </w:r>
          </w:p>
        </w:tc>
        <w:tc>
          <w:tcPr>
            <w:tcW w:w="7421" w:type="dxa"/>
          </w:tcPr>
          <w:p w14:paraId="32CE0AB0">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Lauku Ģimenes Ārstu asociācija</w:t>
            </w:r>
          </w:p>
        </w:tc>
      </w:tr>
      <w:tr w14:paraId="1D926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2C85E51C">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LLSA</w:t>
            </w:r>
          </w:p>
        </w:tc>
        <w:tc>
          <w:tcPr>
            <w:tcW w:w="7421" w:type="dxa"/>
          </w:tcPr>
          <w:p w14:paraId="27B31DF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lielo slimnīcu asociācija</w:t>
            </w:r>
          </w:p>
        </w:tc>
      </w:tr>
      <w:tr w14:paraId="077ED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588462ED">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LM</w:t>
            </w:r>
          </w:p>
        </w:tc>
        <w:tc>
          <w:tcPr>
            <w:tcW w:w="7421" w:type="dxa"/>
          </w:tcPr>
          <w:p w14:paraId="69D4103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Labklājības ministrija</w:t>
            </w:r>
          </w:p>
        </w:tc>
      </w:tr>
      <w:tr w14:paraId="269DC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4B4212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LPA</w:t>
            </w:r>
          </w:p>
        </w:tc>
        <w:tc>
          <w:tcPr>
            <w:tcW w:w="7421" w:type="dxa"/>
          </w:tcPr>
          <w:p w14:paraId="4D67EA8B">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Pilsoniskā alianse</w:t>
            </w:r>
          </w:p>
        </w:tc>
      </w:tr>
      <w:tr w14:paraId="565BF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5E7A65B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LPR</w:t>
            </w:r>
          </w:p>
        </w:tc>
        <w:tc>
          <w:tcPr>
            <w:tcW w:w="7421" w:type="dxa"/>
          </w:tcPr>
          <w:p w14:paraId="189CE723">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Latgales plānošanas reģions</w:t>
            </w:r>
          </w:p>
        </w:tc>
      </w:tr>
      <w:tr w14:paraId="25638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46A651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LSB</w:t>
            </w:r>
          </w:p>
        </w:tc>
        <w:tc>
          <w:tcPr>
            <w:tcW w:w="7421" w:type="dxa"/>
          </w:tcPr>
          <w:p w14:paraId="40B61C2C">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Slimnīcu biedrība</w:t>
            </w:r>
          </w:p>
        </w:tc>
      </w:tr>
      <w:tr w14:paraId="3197B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7383E4A">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LTRK</w:t>
            </w:r>
          </w:p>
        </w:tc>
        <w:tc>
          <w:tcPr>
            <w:tcW w:w="7421" w:type="dxa"/>
          </w:tcPr>
          <w:p w14:paraId="53BA6A95">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Tirdzniecības un rūpniecības kamera</w:t>
            </w:r>
          </w:p>
        </w:tc>
      </w:tr>
      <w:tr w14:paraId="1437C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0199F7B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LU</w:t>
            </w:r>
          </w:p>
        </w:tc>
        <w:tc>
          <w:tcPr>
            <w:tcW w:w="7421" w:type="dxa"/>
          </w:tcPr>
          <w:p w14:paraId="0AC0743C">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Universitāte</w:t>
            </w:r>
          </w:p>
        </w:tc>
      </w:tr>
      <w:tr w14:paraId="7D16F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1EB648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LVRTC</w:t>
            </w:r>
          </w:p>
        </w:tc>
        <w:tc>
          <w:tcPr>
            <w:tcW w:w="7421" w:type="dxa"/>
          </w:tcPr>
          <w:p w14:paraId="7E7C2EA9">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Latvijas Valsts radio un televīzijas centrs</w:t>
            </w:r>
          </w:p>
        </w:tc>
      </w:tr>
      <w:tr w14:paraId="40C61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22A32DE7">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MK</w:t>
            </w:r>
          </w:p>
        </w:tc>
        <w:tc>
          <w:tcPr>
            <w:tcW w:w="7421" w:type="dxa"/>
          </w:tcPr>
          <w:p w14:paraId="6924B87A">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Ministru kabinets</w:t>
            </w:r>
          </w:p>
        </w:tc>
      </w:tr>
      <w:tr w14:paraId="44B8D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3C803A2C">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MPK</w:t>
            </w:r>
          </w:p>
        </w:tc>
        <w:tc>
          <w:tcPr>
            <w:tcW w:w="7421" w:type="dxa"/>
          </w:tcPr>
          <w:p w14:paraId="1E447E95">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Militārais pamatkurss</w:t>
            </w:r>
          </w:p>
        </w:tc>
      </w:tr>
      <w:tr w14:paraId="6D8F0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10EC70BB">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MVU</w:t>
            </w:r>
          </w:p>
        </w:tc>
        <w:tc>
          <w:tcPr>
            <w:tcW w:w="7421" w:type="dxa"/>
          </w:tcPr>
          <w:p w14:paraId="59AD6F2D">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Mazie un vidējie uzņēmumi</w:t>
            </w:r>
          </w:p>
        </w:tc>
      </w:tr>
      <w:tr w14:paraId="438BA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DCD39E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NATO</w:t>
            </w:r>
          </w:p>
        </w:tc>
        <w:tc>
          <w:tcPr>
            <w:tcW w:w="7421" w:type="dxa"/>
          </w:tcPr>
          <w:p w14:paraId="753313C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Ziemeļatlantijas līguma organizācija</w:t>
            </w:r>
          </w:p>
        </w:tc>
      </w:tr>
      <w:tr w14:paraId="31364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0636C00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NBS</w:t>
            </w:r>
          </w:p>
        </w:tc>
        <w:tc>
          <w:tcPr>
            <w:tcW w:w="7421" w:type="dxa"/>
          </w:tcPr>
          <w:p w14:paraId="7D729E77">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Nacionālie bruņotie spēki</w:t>
            </w:r>
          </w:p>
        </w:tc>
      </w:tr>
      <w:tr w14:paraId="10701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73F24273">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NIP</w:t>
            </w:r>
          </w:p>
        </w:tc>
        <w:tc>
          <w:tcPr>
            <w:tcW w:w="7421" w:type="dxa"/>
          </w:tcPr>
          <w:p w14:paraId="2FEC1F0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Nacionālā industriālā politika</w:t>
            </w:r>
          </w:p>
        </w:tc>
      </w:tr>
      <w:tr w14:paraId="7505A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E1D38F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NĪN</w:t>
            </w:r>
          </w:p>
        </w:tc>
        <w:tc>
          <w:tcPr>
            <w:tcW w:w="7421" w:type="dxa"/>
          </w:tcPr>
          <w:p w14:paraId="521E71E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Nekustamā īpašuma nodoklis</w:t>
            </w:r>
          </w:p>
        </w:tc>
      </w:tr>
      <w:tr w14:paraId="2D128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3CC60F09">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NMPD</w:t>
            </w:r>
          </w:p>
        </w:tc>
        <w:tc>
          <w:tcPr>
            <w:tcW w:w="7421" w:type="dxa"/>
          </w:tcPr>
          <w:p w14:paraId="153BAAC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Neatliekamās medicīniskās palīdzības dienests</w:t>
            </w:r>
          </w:p>
        </w:tc>
      </w:tr>
      <w:tr w14:paraId="37E36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5F5D8120">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NVA</w:t>
            </w:r>
          </w:p>
        </w:tc>
        <w:tc>
          <w:tcPr>
            <w:tcW w:w="7421" w:type="dxa"/>
          </w:tcPr>
          <w:p w14:paraId="212F8A90">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Nodarbinātības valsts aģentūra</w:t>
            </w:r>
          </w:p>
        </w:tc>
      </w:tr>
      <w:tr w14:paraId="6206F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7600D9C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NVD</w:t>
            </w:r>
          </w:p>
        </w:tc>
        <w:tc>
          <w:tcPr>
            <w:tcW w:w="7421" w:type="dxa"/>
          </w:tcPr>
          <w:p w14:paraId="19AECD4F">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Nacionālais veselības dienests</w:t>
            </w:r>
          </w:p>
        </w:tc>
      </w:tr>
      <w:tr w14:paraId="21294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2D031B8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NVO</w:t>
            </w:r>
          </w:p>
        </w:tc>
        <w:tc>
          <w:tcPr>
            <w:tcW w:w="7421" w:type="dxa"/>
          </w:tcPr>
          <w:p w14:paraId="6B43BFFD">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Nevalstiskā organizācija</w:t>
            </w:r>
          </w:p>
        </w:tc>
      </w:tr>
      <w:tr w14:paraId="5AE17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2F0B89D8">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OECD</w:t>
            </w:r>
          </w:p>
        </w:tc>
        <w:tc>
          <w:tcPr>
            <w:tcW w:w="7421" w:type="dxa"/>
          </w:tcPr>
          <w:p w14:paraId="68B3F597">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Ekonomiskās Sadarbības un Attīstības organizācija</w:t>
            </w:r>
          </w:p>
        </w:tc>
      </w:tr>
      <w:tr w14:paraId="1E534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16C1412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P&amp;A</w:t>
            </w:r>
          </w:p>
        </w:tc>
        <w:tc>
          <w:tcPr>
            <w:tcW w:w="7421" w:type="dxa"/>
          </w:tcPr>
          <w:p w14:paraId="0EEC67B5">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Pētniecība un attīstība</w:t>
            </w:r>
          </w:p>
        </w:tc>
      </w:tr>
      <w:tr w14:paraId="30B3F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3455F970">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PMLP</w:t>
            </w:r>
          </w:p>
        </w:tc>
        <w:tc>
          <w:tcPr>
            <w:tcW w:w="7421" w:type="dxa"/>
          </w:tcPr>
          <w:p w14:paraId="614F0D09">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Pilsonības un migrācijas lietu pārvalde</w:t>
            </w:r>
          </w:p>
        </w:tc>
      </w:tr>
      <w:tr w14:paraId="1F1D1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344837DA">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PPP</w:t>
            </w:r>
          </w:p>
        </w:tc>
        <w:tc>
          <w:tcPr>
            <w:tcW w:w="7421" w:type="dxa"/>
          </w:tcPr>
          <w:p w14:paraId="5193688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Publiskā – privātā partnerība</w:t>
            </w:r>
          </w:p>
        </w:tc>
      </w:tr>
      <w:tr w14:paraId="1DBB0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7600C17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PVN</w:t>
            </w:r>
          </w:p>
        </w:tc>
        <w:tc>
          <w:tcPr>
            <w:tcW w:w="7421" w:type="dxa"/>
          </w:tcPr>
          <w:p w14:paraId="160A21AF">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Pievienotās vērtības nodoklis</w:t>
            </w:r>
          </w:p>
        </w:tc>
      </w:tr>
      <w:tr w14:paraId="1026E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5B51787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RSU</w:t>
            </w:r>
          </w:p>
        </w:tc>
        <w:tc>
          <w:tcPr>
            <w:tcW w:w="7421" w:type="dxa"/>
          </w:tcPr>
          <w:p w14:paraId="5F886F69">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Rīgas Stradiņa universitāte</w:t>
            </w:r>
          </w:p>
        </w:tc>
      </w:tr>
      <w:tr w14:paraId="66B14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0CD6F5B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RŠV</w:t>
            </w:r>
          </w:p>
        </w:tc>
        <w:tc>
          <w:tcPr>
            <w:tcW w:w="7421" w:type="dxa"/>
          </w:tcPr>
          <w:p w14:paraId="2D9C77EB">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Robežšķērsošanas vieta</w:t>
            </w:r>
          </w:p>
        </w:tc>
      </w:tr>
      <w:tr w14:paraId="6C7B1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C6725BB">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SIA</w:t>
            </w:r>
          </w:p>
        </w:tc>
        <w:tc>
          <w:tcPr>
            <w:tcW w:w="7421" w:type="dxa"/>
          </w:tcPr>
          <w:p w14:paraId="4C1F6BE5">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Sabiedrība ar ierobežotu atbildību</w:t>
            </w:r>
          </w:p>
        </w:tc>
      </w:tr>
      <w:tr w14:paraId="35076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9F369E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SM</w:t>
            </w:r>
          </w:p>
        </w:tc>
        <w:tc>
          <w:tcPr>
            <w:tcW w:w="7421" w:type="dxa"/>
          </w:tcPr>
          <w:p w14:paraId="3A32417F">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Satiksmes ministrija</w:t>
            </w:r>
          </w:p>
        </w:tc>
      </w:tr>
      <w:tr w14:paraId="09F34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5E9F3FED">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SEZ</w:t>
            </w:r>
          </w:p>
        </w:tc>
        <w:tc>
          <w:tcPr>
            <w:tcW w:w="7421" w:type="dxa"/>
          </w:tcPr>
          <w:p w14:paraId="1E6453E5">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Speciālā ekonomiskā zona</w:t>
            </w:r>
          </w:p>
        </w:tc>
      </w:tr>
      <w:tr w14:paraId="5F8C7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76DF32F9">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TAP</w:t>
            </w:r>
          </w:p>
        </w:tc>
        <w:tc>
          <w:tcPr>
            <w:tcW w:w="7421" w:type="dxa"/>
          </w:tcPr>
          <w:p w14:paraId="6BB37B4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Tiesību aktu projekts</w:t>
            </w:r>
          </w:p>
        </w:tc>
      </w:tr>
      <w:tr w14:paraId="6A299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5EB176A3">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UIN</w:t>
            </w:r>
          </w:p>
        </w:tc>
        <w:tc>
          <w:tcPr>
            <w:tcW w:w="7421" w:type="dxa"/>
          </w:tcPr>
          <w:p w14:paraId="5921363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Uzņēmumu ienākuma nodoklis</w:t>
            </w:r>
          </w:p>
        </w:tc>
      </w:tr>
      <w:tr w14:paraId="2B29F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13FBCECB">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UNESCO</w:t>
            </w:r>
          </w:p>
        </w:tc>
        <w:tc>
          <w:tcPr>
            <w:tcW w:w="7421" w:type="dxa"/>
          </w:tcPr>
          <w:p w14:paraId="3E38FC0A">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Apvienoto Nāciju Izglītības, zinātnes un kultūras organizācija</w:t>
            </w:r>
          </w:p>
        </w:tc>
      </w:tr>
      <w:tr w14:paraId="23339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1DB8ABB5">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VAD</w:t>
            </w:r>
          </w:p>
        </w:tc>
        <w:tc>
          <w:tcPr>
            <w:tcW w:w="7421" w:type="dxa"/>
          </w:tcPr>
          <w:p w14:paraId="509FF2D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Valsts aizsardzības dienests</w:t>
            </w:r>
          </w:p>
        </w:tc>
      </w:tr>
      <w:tr w14:paraId="688E4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2732E23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VAM</w:t>
            </w:r>
          </w:p>
        </w:tc>
        <w:tc>
          <w:tcPr>
            <w:tcW w:w="7421" w:type="dxa"/>
          </w:tcPr>
          <w:p w14:paraId="661C58FA">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Valsts aizsardzības mācība</w:t>
            </w:r>
          </w:p>
        </w:tc>
      </w:tr>
      <w:tr w14:paraId="3B19E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8C7FBF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VARAM</w:t>
            </w:r>
          </w:p>
        </w:tc>
        <w:tc>
          <w:tcPr>
            <w:tcW w:w="7421" w:type="dxa"/>
          </w:tcPr>
          <w:p w14:paraId="01BCDC7C">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Viedās administrācijas un reģionālās attīstības ministrija</w:t>
            </w:r>
          </w:p>
        </w:tc>
      </w:tr>
      <w:tr w14:paraId="7873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7BA44E1">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VDD</w:t>
            </w:r>
          </w:p>
        </w:tc>
        <w:tc>
          <w:tcPr>
            <w:tcW w:w="7421" w:type="dxa"/>
          </w:tcPr>
          <w:p w14:paraId="4FF155C3">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Valsts drošības dienests</w:t>
            </w:r>
          </w:p>
        </w:tc>
      </w:tr>
      <w:tr w14:paraId="442AB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BDACE5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VK</w:t>
            </w:r>
          </w:p>
        </w:tc>
        <w:tc>
          <w:tcPr>
            <w:tcW w:w="7421" w:type="dxa"/>
          </w:tcPr>
          <w:p w14:paraId="0B411E6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Valsts kanceleja</w:t>
            </w:r>
          </w:p>
        </w:tc>
      </w:tr>
      <w:tr w14:paraId="29CC4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352D66C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VM</w:t>
            </w:r>
          </w:p>
        </w:tc>
        <w:tc>
          <w:tcPr>
            <w:tcW w:w="7421" w:type="dxa"/>
          </w:tcPr>
          <w:p w14:paraId="6FEB4523">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Veselības ministrija</w:t>
            </w:r>
          </w:p>
        </w:tc>
      </w:tr>
      <w:tr w14:paraId="4FFDB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92FDB33">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VP</w:t>
            </w:r>
          </w:p>
        </w:tc>
        <w:tc>
          <w:tcPr>
            <w:tcW w:w="7421" w:type="dxa"/>
          </w:tcPr>
          <w:p w14:paraId="6BF92497">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Valsts policija</w:t>
            </w:r>
          </w:p>
        </w:tc>
      </w:tr>
      <w:tr w14:paraId="60368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00973661">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VPR</w:t>
            </w:r>
          </w:p>
        </w:tc>
        <w:tc>
          <w:tcPr>
            <w:tcW w:w="7421" w:type="dxa"/>
          </w:tcPr>
          <w:p w14:paraId="440DCB21">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Vidzemes plānošanas reģions</w:t>
            </w:r>
          </w:p>
        </w:tc>
      </w:tr>
      <w:tr w14:paraId="6E8BD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0665C036">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VRS</w:t>
            </w:r>
          </w:p>
        </w:tc>
        <w:tc>
          <w:tcPr>
            <w:tcW w:w="7421" w:type="dxa"/>
          </w:tcPr>
          <w:p w14:paraId="088B997C">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Valsts robežsardze</w:t>
            </w:r>
          </w:p>
        </w:tc>
      </w:tr>
      <w:tr w14:paraId="5BB5D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4931DE47">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VSC</w:t>
            </w:r>
          </w:p>
        </w:tc>
        <w:tc>
          <w:tcPr>
            <w:tcW w:w="7421" w:type="dxa"/>
          </w:tcPr>
          <w:p w14:paraId="19292D27">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Iekšlietu ministrijas veselības un sporta centrs</w:t>
            </w:r>
          </w:p>
        </w:tc>
      </w:tr>
      <w:tr w14:paraId="7898F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04ABAE2">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VUGD</w:t>
            </w:r>
          </w:p>
        </w:tc>
        <w:tc>
          <w:tcPr>
            <w:tcW w:w="7421" w:type="dxa"/>
          </w:tcPr>
          <w:p w14:paraId="2DF05927">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Valsts ugunsdzēsības un glābšanas dienests</w:t>
            </w:r>
          </w:p>
        </w:tc>
      </w:tr>
      <w:tr w14:paraId="31FC3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628E241E">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VVA</w:t>
            </w:r>
          </w:p>
        </w:tc>
        <w:tc>
          <w:tcPr>
            <w:tcW w:w="7421" w:type="dxa"/>
          </w:tcPr>
          <w:p w14:paraId="020C6E9D">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Visaptveroša valsts aizsardzība</w:t>
            </w:r>
          </w:p>
        </w:tc>
      </w:tr>
      <w:tr w14:paraId="72D9E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1CAEA418">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ZM</w:t>
            </w:r>
          </w:p>
        </w:tc>
        <w:tc>
          <w:tcPr>
            <w:tcW w:w="7421" w:type="dxa"/>
          </w:tcPr>
          <w:p w14:paraId="2702D3C3">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Zemkopības ministrija</w:t>
            </w:r>
          </w:p>
        </w:tc>
      </w:tr>
      <w:tr w14:paraId="0AA6D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28731419">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ZPR</w:t>
            </w:r>
          </w:p>
        </w:tc>
        <w:tc>
          <w:tcPr>
            <w:tcW w:w="7421" w:type="dxa"/>
          </w:tcPr>
          <w:p w14:paraId="61D6DB45">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Zemgales plānošanas reģions</w:t>
            </w:r>
          </w:p>
        </w:tc>
      </w:tr>
      <w:tr w14:paraId="03CB4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Pr>
          <w:p w14:paraId="1470FB84">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ZS</w:t>
            </w:r>
          </w:p>
        </w:tc>
        <w:tc>
          <w:tcPr>
            <w:tcW w:w="7421" w:type="dxa"/>
          </w:tcPr>
          <w:p w14:paraId="4D6DAE79">
            <w:pPr>
              <w:autoSpaceDN w:val="0"/>
              <w:spacing w:after="0" w:line="240" w:lineRule="auto"/>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Zemessardze</w:t>
            </w:r>
          </w:p>
        </w:tc>
      </w:tr>
    </w:tbl>
    <w:p w14:paraId="6C30529D">
      <w:pPr>
        <w:pStyle w:val="2"/>
        <w:rPr>
          <w:rFonts w:cs="Times New Roman"/>
        </w:rPr>
      </w:pPr>
    </w:p>
    <w:p w14:paraId="2E5B544B">
      <w:pPr>
        <w:spacing w:line="240" w:lineRule="auto"/>
        <w:rPr>
          <w:rFonts w:ascii="Times New Roman" w:hAnsi="Times New Roman" w:cs="Times New Roman" w:eastAsiaTheme="majorEastAsia"/>
          <w:b/>
          <w:sz w:val="28"/>
          <w:szCs w:val="40"/>
        </w:rPr>
      </w:pPr>
      <w:r>
        <w:rPr>
          <w:rFonts w:ascii="Times New Roman" w:hAnsi="Times New Roman" w:cs="Times New Roman"/>
        </w:rPr>
        <w:br w:type="page"/>
      </w:r>
    </w:p>
    <w:p w14:paraId="4E28BDF7">
      <w:pPr>
        <w:pStyle w:val="2"/>
        <w:rPr>
          <w:rFonts w:cs="Times New Roman"/>
        </w:rPr>
      </w:pPr>
      <w:bookmarkStart w:id="15" w:name="_Toc180574009"/>
      <w:r>
        <w:rPr>
          <w:rFonts w:cs="Times New Roman"/>
        </w:rPr>
        <w:t>Ievads</w:t>
      </w:r>
      <w:bookmarkEnd w:id="15"/>
    </w:p>
    <w:p w14:paraId="322E676A">
      <w:pPr>
        <w:spacing w:after="120" w:line="240" w:lineRule="auto"/>
        <w:jc w:val="both"/>
        <w:rPr>
          <w:rFonts w:ascii="Times New Roman" w:hAnsi="Times New Roman" w:cs="Times New Roman"/>
          <w:sz w:val="24"/>
          <w:szCs w:val="24"/>
        </w:rPr>
      </w:pPr>
    </w:p>
    <w:p w14:paraId="4D39B3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Rīcības plāns Latvijas Austrumu pierobežas ekonomiskajai izaugsmei un drošības stiprināšanai 2025.–2027. gadam (turpmāk – plāns) ir īstermiņa plānošanas dokuments, kas detalizē un attīsta Reģionālās politikas pamatnostādnēs 2021.–2027. gadam</w:t>
      </w:r>
      <w:r>
        <w:rPr>
          <w:rStyle w:val="20"/>
          <w:rFonts w:ascii="Times New Roman" w:hAnsi="Times New Roman" w:cs="Times New Roman"/>
          <w:sz w:val="24"/>
          <w:szCs w:val="24"/>
        </w:rPr>
        <w:footnoteReference w:id="0"/>
      </w:r>
      <w:r>
        <w:rPr>
          <w:rFonts w:ascii="Times New Roman" w:hAnsi="Times New Roman" w:cs="Times New Roman"/>
          <w:sz w:val="24"/>
          <w:szCs w:val="24"/>
        </w:rPr>
        <w:t xml:space="preserve"> ietvertos mērķus un uzdevumus. </w:t>
      </w:r>
    </w:p>
    <w:p w14:paraId="248936D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Viedās administrācijas un reģionālās attīstības ministrija (turpmāk – VARAM) plānu ir izstrādājusi, ņemot vērā Ministru kabineta 2022. gada 23. augusta sēdes protokola Nr. 41 39. § 2. punktā doto uzdevumu</w:t>
      </w:r>
      <w:r>
        <w:rPr>
          <w:rStyle w:val="20"/>
          <w:rFonts w:ascii="Times New Roman" w:hAnsi="Times New Roman" w:cs="Times New Roman"/>
          <w:sz w:val="24"/>
          <w:szCs w:val="24"/>
        </w:rPr>
        <w:footnoteReference w:id="1"/>
      </w:r>
      <w:r>
        <w:rPr>
          <w:rFonts w:ascii="Times New Roman" w:hAnsi="Times New Roman" w:cs="Times New Roman"/>
          <w:sz w:val="24"/>
          <w:szCs w:val="24"/>
        </w:rPr>
        <w:t xml:space="preserve">, kas ir sniegts, ievērojot ilgstoši pastāvošās nelabvēlīgās tendences Latgales plānošanas reģiona sociālekonomiskajos radītājos, kā arī nepieciešamību nodrošināt pēctecību iepriekšējos Rīcības plānos Latgales reģiona izaugsmei (2013.–2014. gadam, 2015.–2017. gadam un 2018.–2021. gadam) iekļautajām iniciatīvām, lai Austrumu pierobežā radītu iespējas mazināt reģionālās attīstības atšķirības ar pārējiem Latvijas reģioniem. </w:t>
      </w:r>
    </w:p>
    <w:p w14:paraId="069B229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Uzsākot plāna izstrādi 2022.gadā, tas galvenokārt tika vērsts uz Latgales reģiona sociāli ekonomisko attīstību, mazinot reģionālās attīstības atšķirības, līdz ar to iekļaujot pamatā VARAM pārziņā esošos pasākumus. Bet, ņemot vērā Krievijas pilna apmēra agresijas kara pret Ukrainu radīto ietekmi uz Eiropas Savienības (turpmāk – ES) Austrumu pierobežas reģioniem, jautājums ir vērsies plašāk.</w:t>
      </w:r>
    </w:p>
    <w:p w14:paraId="01E82EB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2023.gada 12.maijā VARAM organizēja starptautisku konferenci “Austrumu pierobeža: attīstības iespējas un izaicinājumi attālajiem reģioniem”, kurā piedalījās pārstāvji no Eiropas valstīm, kas robežojas ar Krieviju un/vai Baltkrieviju – Polijas, Somijas, Norvēģijas, Lietuvas un Igaunijas. Pēc šīs konferences Austrumu pierobežas drošības jautājumi tiek daudzkārt analizēti kā kopējais izaicinājums visām valstīm, kas robežojas ar Krieviju un/vai Baltkrieviju, un ES kopējās drošības kontekstā (sk. par aktuālajiem starptautiskajiem projektiem nodaļā “Esošās situācijas raksturojums”). </w:t>
      </w:r>
    </w:p>
    <w:p w14:paraId="3866A9D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Apkopojot konferencē izskanējušo citu valstu pieredzi un nepieciešamību pēc plašāka rīcības modeļa Austrumu pierobežās attīstībai, tai skaitā ņemot vērā drošības aspektus, izkristalizējās nepieciešamība pēc visu politiku, kas ietekmē Austrumu pierobežu, kopīga piedāvājuma un plašāka starpinstitucionāla sadarbības modeļa Austrumu pierobežas attīstībai. Tādējādi 2023.gadā un 2024.gadā</w:t>
      </w:r>
      <w:r>
        <w:rPr>
          <w:rStyle w:val="20"/>
          <w:rFonts w:ascii="Times New Roman" w:hAnsi="Times New Roman" w:cs="Times New Roman"/>
          <w:sz w:val="24"/>
          <w:szCs w:val="24"/>
        </w:rPr>
        <w:footnoteReference w:id="2"/>
      </w:r>
      <w:r>
        <w:rPr>
          <w:rFonts w:ascii="Times New Roman" w:hAnsi="Times New Roman" w:cs="Times New Roman"/>
          <w:sz w:val="24"/>
          <w:szCs w:val="24"/>
        </w:rPr>
        <w:t xml:space="preserve"> plāns papildināts ar nozaru ministriju sniegto informāciju par pasākumiem, kas tiek/tiks īstenoti Austrumu pierobežā, sekmējot tās attīstību un nostiprinot tās drošību. </w:t>
      </w:r>
    </w:p>
    <w:p w14:paraId="103C3D6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Līdz ar to izstrādes procesā plāns ir pārveidots par dokumentu, kas vērsts uz plašākas teritorijas – Latvijas Austrumu pierobežas</w:t>
      </w:r>
      <w:r>
        <w:rPr>
          <w:rStyle w:val="20"/>
          <w:rFonts w:ascii="Times New Roman" w:hAnsi="Times New Roman" w:cs="Times New Roman"/>
          <w:sz w:val="24"/>
          <w:szCs w:val="24"/>
        </w:rPr>
        <w:footnoteReference w:id="3"/>
      </w:r>
      <w:r>
        <w:rPr>
          <w:rFonts w:ascii="Times New Roman" w:hAnsi="Times New Roman" w:cs="Times New Roman"/>
          <w:sz w:val="24"/>
          <w:szCs w:val="24"/>
        </w:rPr>
        <w:t xml:space="preserve"> – attīstību, un tam ir paplašināts tematiskais tvērums, aptverot arī pasākumus drošības stiprināšanai.</w:t>
      </w:r>
    </w:p>
    <w:p w14:paraId="54C8A1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Plānā iekļautie pasākumi vērsti uz:  1) drošības stiprināšanu; 2) ekonomisko attīstību; 3) cilvēkresursu attīstību.</w:t>
      </w:r>
    </w:p>
    <w:p w14:paraId="12E09F1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Plānā nodaļā “Pasākumi izvirzītā mērķa sasniegšanai, darbības rezultāti un to rezultatīvie rādītāji” iekļauti jauni pasākumi un aktivitātes, kas papildina/paplašina esošos pasākumus, citos nacionālā līmeņa plānošanas dokumentos ietvertās intervences, kas tiek īstenotas cita starpā arī Latvijas Austrumu pierobežā, kuriem </w:t>
      </w:r>
      <w:r>
        <w:rPr>
          <w:rFonts w:ascii="Times New Roman" w:hAnsi="Times New Roman" w:cs="Times New Roman"/>
          <w:bCs/>
          <w:sz w:val="24"/>
          <w:szCs w:val="24"/>
        </w:rPr>
        <w:t>ir piešķirts finansējums.</w:t>
      </w:r>
      <w:r>
        <w:rPr>
          <w:rFonts w:ascii="Times New Roman" w:hAnsi="Times New Roman" w:cs="Times New Roman"/>
          <w:sz w:val="24"/>
          <w:szCs w:val="24"/>
        </w:rPr>
        <w:t xml:space="preserve"> </w:t>
      </w:r>
    </w:p>
    <w:p w14:paraId="598BF6C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Plāna 3.pielikumā iekļauti priekšlikumi jauniem pasākumiem, ko paredzēts īstenot tikai Austrumu pierobežā, vai kuri Austrumu pierobežā tiks īstenoti kā daļa no uz visu Latviju vērstām aktivitātēm un kurām pašlaik </w:t>
      </w:r>
      <w:r>
        <w:rPr>
          <w:rFonts w:ascii="Times New Roman" w:hAnsi="Times New Roman" w:cs="Times New Roman"/>
          <w:bCs/>
          <w:sz w:val="24"/>
          <w:szCs w:val="24"/>
        </w:rPr>
        <w:t>nav piešķirts finansējums.</w:t>
      </w:r>
      <w:r>
        <w:rPr>
          <w:rFonts w:ascii="Times New Roman" w:hAnsi="Times New Roman" w:cs="Times New Roman"/>
          <w:sz w:val="24"/>
          <w:szCs w:val="24"/>
        </w:rPr>
        <w:t xml:space="preserve">  </w:t>
      </w:r>
    </w:p>
    <w:p w14:paraId="3A89CDFD">
      <w:pPr>
        <w:spacing w:after="120" w:line="240" w:lineRule="auto"/>
        <w:jc w:val="both"/>
        <w:rPr>
          <w:rStyle w:val="26"/>
          <w:rFonts w:ascii="Times New Roman" w:hAnsi="Times New Roman" w:cs="Times New Roman"/>
          <w:b w:val="0"/>
          <w:sz w:val="24"/>
          <w:szCs w:val="24"/>
          <w:shd w:val="clear" w:color="auto" w:fill="FFFFFF"/>
        </w:rPr>
      </w:pPr>
      <w:r>
        <w:rPr>
          <w:rFonts w:ascii="Times New Roman" w:hAnsi="Times New Roman" w:cs="Times New Roman"/>
          <w:sz w:val="24"/>
          <w:szCs w:val="24"/>
        </w:rPr>
        <w:t>Plāna projekta izstrādē un apspriešanā tika iesaistīts plašs ieinteresēto pušu loks.</w:t>
      </w:r>
      <w:r>
        <w:rPr>
          <w:rStyle w:val="20"/>
          <w:rFonts w:ascii="Times New Roman" w:hAnsi="Times New Roman" w:cs="Times New Roman"/>
          <w:sz w:val="24"/>
          <w:szCs w:val="24"/>
        </w:rPr>
        <w:footnoteReference w:id="4"/>
      </w:r>
      <w:r>
        <w:rPr>
          <w:rFonts w:ascii="Times New Roman" w:hAnsi="Times New Roman" w:cs="Times New Roman"/>
          <w:sz w:val="24"/>
          <w:szCs w:val="24"/>
        </w:rPr>
        <w:t xml:space="preserve"> Tas vairākkārt apspriests arī Saeimas </w:t>
      </w:r>
      <w:r>
        <w:rPr>
          <w:rStyle w:val="26"/>
          <w:rFonts w:ascii="Times New Roman" w:hAnsi="Times New Roman" w:cs="Times New Roman"/>
          <w:b w:val="0"/>
          <w:sz w:val="24"/>
          <w:szCs w:val="24"/>
          <w:shd w:val="clear" w:color="auto" w:fill="FFFFFF"/>
        </w:rPr>
        <w:t>Cilvēktiesību un sabiedrisko lietu komisijas Latgales apakškomisijā, t.sk. pieaicinot nozaru ministriju pārstāvjus un citas ieinteresētās puses. Īpašu uzmanību pievēršot drošības jautājumiem, savu redzējumu par plāna pilnveides nepieciešamību 2024. gada 13. martā sniedzis Valsts prezidents Edgars Rinkēvičs.</w:t>
      </w:r>
    </w:p>
    <w:p w14:paraId="6BC5EFF9">
      <w:pPr>
        <w:spacing w:after="120" w:line="240" w:lineRule="auto"/>
        <w:jc w:val="both"/>
        <w:rPr>
          <w:rStyle w:val="26"/>
          <w:rFonts w:ascii="Times New Roman" w:hAnsi="Times New Roman" w:cs="Times New Roman"/>
          <w:b w:val="0"/>
          <w:sz w:val="24"/>
          <w:szCs w:val="24"/>
          <w:shd w:val="clear" w:color="auto" w:fill="FFFFFF"/>
        </w:rPr>
      </w:pPr>
      <w:r>
        <w:rPr>
          <w:rStyle w:val="26"/>
          <w:rFonts w:ascii="Times New Roman" w:hAnsi="Times New Roman" w:cs="Times New Roman"/>
          <w:b w:val="0"/>
          <w:sz w:val="24"/>
          <w:szCs w:val="24"/>
          <w:shd w:val="clear" w:color="auto" w:fill="FFFFFF"/>
        </w:rPr>
        <w:t>Par pilnveidoto plānu tika diskutēts Ministru kabineta Austrumu pierobežas sociālekonomiskās attīstības un drošības stiprināšanas tematiskajā komitejā</w:t>
      </w:r>
      <w:r>
        <w:rPr>
          <w:rStyle w:val="20"/>
          <w:rFonts w:ascii="Times New Roman" w:hAnsi="Times New Roman" w:cs="Times New Roman"/>
          <w:sz w:val="24"/>
          <w:szCs w:val="24"/>
          <w:shd w:val="clear" w:color="auto" w:fill="FFFFFF"/>
        </w:rPr>
        <w:footnoteReference w:id="5"/>
      </w:r>
      <w:r>
        <w:rPr>
          <w:rStyle w:val="26"/>
          <w:rFonts w:ascii="Times New Roman" w:hAnsi="Times New Roman" w:cs="Times New Roman"/>
          <w:b w:val="0"/>
          <w:sz w:val="24"/>
          <w:szCs w:val="24"/>
          <w:shd w:val="clear" w:color="auto" w:fill="FFFFFF"/>
        </w:rPr>
        <w:t xml:space="preserve"> 2024. gada 2. maijā, 11. jūnijā un 17.septembrī.</w:t>
      </w:r>
    </w:p>
    <w:p w14:paraId="451D54E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Izstrādājot plānu, tika ņemta vērā arī citu ES Austrumu pierobežas valstu pieredze - arī Igaunijā un Somijā ir izstrādātas īpašas atbalsta programmas Austrumu pierobežas teritoriju atbalstam. Šajā plānā ir ņemti vērā drošības izaicinājumi, tāpat kā Somijā, attiecīgi paredzot uz drošības stiprināšanu vērstas rīcības. Būtiska tēma plānā gan šajā, gan Igaunijas un Somijas gadījumā ir uzņēmējdarbības, ekonomiskās aktivitātes veicināšana, nodrošinot jaunu darbavietu radīšanu Austrumu pierobežā kā pamatu iedzīvotāju labklājības celšanai un attiecīgi depopulācijas samazināšanai. Tāpat kā Somijā, arī šajā plānā uzsvērta nepieciešamība pārvirzīt ekonomiskās sadarbības saites no agresorvalstīm uz citiem sadarbības partneriem. Latvijas Austrumu pierobežā līdzīgi Somijas dokumentam arī plānotas aktivitātes attiecībā uz izglītību un pētniecību, kā arī teritorijas sasniedzamību. </w:t>
      </w:r>
    </w:p>
    <w:p w14:paraId="40C3FB3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Arī ar Igaunijas Austrumu pierobežas plānu ir daudz kopīga – uzņēmējdarbības veicināšana, dzīves vides uzlabošana, pilsoniskās sabiedrības stiprināšana Austrumu pierobežā. Papildus Igaunijā tiek aptverti arī sociālie pakalpojumi. Atšķirībā no Latvijas, Igaunijā atbalsta ietvaros Austrumu pierobežai aptvertas arī vides un zaļās tehnoloģijas, atjaunojamā enerģija, dabas resursu izmantošana (īpaši jaunu tehnoloģiju ieguvei un kritisko zemes metālu ieguvei), aprites ekonomika, ūdeņraža ražošana un tūrisma nozare. </w:t>
      </w:r>
    </w:p>
    <w:p w14:paraId="00FF645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Plāna struktūra veidota, ievērojot Ministru kabineta 2014.gada 2.decembra noteikumu Nr. 737 “Attīstības plānošanas dokumentu izstrādes un ietekmes izvērtēšanas noteikumi” 4.nodaļā noteiktos nosacījumus plāna saturam.</w:t>
      </w:r>
    </w:p>
    <w:p w14:paraId="2C6E567B">
      <w:pPr>
        <w:pStyle w:val="2"/>
        <w:rPr>
          <w:rFonts w:cs="Times New Roman"/>
        </w:rPr>
      </w:pPr>
      <w:r>
        <w:rPr>
          <w:rFonts w:cs="Times New Roman"/>
          <w:b w:val="0"/>
          <w:bCs/>
          <w:sz w:val="24"/>
          <w:szCs w:val="24"/>
        </w:rPr>
        <w:br w:type="page"/>
      </w:r>
      <w:bookmarkStart w:id="16" w:name="_Toc180574010"/>
      <w:r>
        <w:rPr>
          <w:rFonts w:cs="Times New Roman"/>
        </w:rPr>
        <w:t>Kopsavilkums</w:t>
      </w:r>
      <w:bookmarkEnd w:id="16"/>
    </w:p>
    <w:p w14:paraId="02B84FE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Plāns izstrādāts, ņemot vērā Ministru kabineta doto uzdevumu, kā arī ģeopolitisko situāciju ES Austrumu pierobežā pēc Krievijas sāktā pilna apmēra agresijas kara pret Ukrainu un Austrumu pierobežas sociālekonomiskos izaicinājumus.</w:t>
      </w:r>
    </w:p>
    <w:p w14:paraId="06D234F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Būtiskākie izaicinājumi, ko nepieciešams risināt Austrumu pierobežā Krievijas pilna apmēra agresijas kara pret Ukrainu ietekmē, kas kopīgi ar citām Krievijas un Baltkrievijas robežvalstīm Eiropas Savienībā:</w:t>
      </w:r>
    </w:p>
    <w:p w14:paraId="5CA210DA">
      <w:pPr>
        <w:pStyle w:val="52"/>
        <w:numPr>
          <w:ilvl w:val="0"/>
          <w:numId w:val="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pastiprināta jau esošā nelabvēlīgā ekonomiskā situācija, grūtības saglabāt uzņēmējdarbības aktivitāti, tostarp mazos un vidējos uzņēmumus;</w:t>
      </w:r>
    </w:p>
    <w:p w14:paraId="18DD3913">
      <w:pPr>
        <w:pStyle w:val="52"/>
        <w:numPr>
          <w:ilvl w:val="0"/>
          <w:numId w:val="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negatīvā ietekme uz iedzīvotāju drošības sajūtu un paaugstināta sociālā spriedze, līdz ar to nepieciešamība stiprināt sabiedrības noturību un sagatavotību;</w:t>
      </w:r>
    </w:p>
    <w:p w14:paraId="506D7481">
      <w:pPr>
        <w:pStyle w:val="52"/>
        <w:numPr>
          <w:ilvl w:val="0"/>
          <w:numId w:val="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negatīvā ietekme uz potenciālajām investīciju plūsmām, traucēti transporta koridori, pārtrauktas tūristu plūsmas;</w:t>
      </w:r>
    </w:p>
    <w:p w14:paraId="1CD920CC">
      <w:pPr>
        <w:pStyle w:val="52"/>
        <w:numPr>
          <w:ilvl w:val="0"/>
          <w:numId w:val="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Ukrainas kara bēgļu integrācija.</w:t>
      </w:r>
      <w:r>
        <w:rPr>
          <w:rStyle w:val="20"/>
          <w:rFonts w:ascii="Times New Roman" w:hAnsi="Times New Roman" w:cs="Times New Roman"/>
          <w:sz w:val="24"/>
          <w:szCs w:val="24"/>
        </w:rPr>
        <w:footnoteReference w:id="6"/>
      </w:r>
    </w:p>
    <w:p w14:paraId="7C6AA7F5">
      <w:pPr>
        <w:pStyle w:val="25"/>
        <w:jc w:val="center"/>
      </w:pPr>
      <w:r>
        <w:drawing>
          <wp:inline distT="0" distB="0" distL="0" distR="0">
            <wp:extent cx="6120130" cy="2689225"/>
            <wp:effectExtent l="0" t="0" r="0" b="0"/>
            <wp:docPr id="1287745538" name="Picture 9" descr="A diagram of a busi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45538" name="Picture 9" descr="A diagram of a busines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20130" cy="2689225"/>
                    </a:xfrm>
                    <a:prstGeom prst="rect">
                      <a:avLst/>
                    </a:prstGeom>
                    <a:noFill/>
                    <a:ln>
                      <a:noFill/>
                    </a:ln>
                  </pic:spPr>
                </pic:pic>
              </a:graphicData>
            </a:graphic>
          </wp:inline>
        </w:drawing>
      </w:r>
    </w:p>
    <w:p w14:paraId="022123AF">
      <w:pPr>
        <w:jc w:val="both"/>
        <w:rPr>
          <w:rFonts w:ascii="Times New Roman" w:hAnsi="Times New Roman" w:cs="Times New Roman"/>
          <w:sz w:val="24"/>
          <w:szCs w:val="24"/>
        </w:rPr>
      </w:pPr>
      <w:r>
        <w:rPr>
          <w:rFonts w:ascii="Times New Roman" w:hAnsi="Times New Roman" w:cs="Times New Roman"/>
          <w:sz w:val="24"/>
          <w:szCs w:val="24"/>
        </w:rPr>
        <w:t xml:space="preserve">Ar mērķi Austrumu pierobežā tuvināt reģionu ekonomisko konkurētspēju pārējiem Latvijas reģioniem, veicinot uzņēmējdarbību, stiprinot pierobežas drošību un iedzīvotāju noturību pret krīzēm, plānā iekļautie pasākumi vērsti uz:  1) drošības stiprināšanu; 2) ekonomisko attīstību; 3) cilvēkresursu attīstību, tos izdalot šādi: </w:t>
      </w:r>
    </w:p>
    <w:p w14:paraId="37ACF066">
      <w:pPr>
        <w:pStyle w:val="52"/>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pasākumi un aktivitātes, kas papildina/paplašina esošos pasākumus, citos nacionālā līmeņa plānošanas dokumentos ietvertās intervences, kas tiek īstenotas cita starpā arī Latvijas Austrumu pierobežā, kuriem </w:t>
      </w:r>
      <w:r>
        <w:rPr>
          <w:rFonts w:ascii="Times New Roman" w:hAnsi="Times New Roman" w:cs="Times New Roman"/>
          <w:b/>
          <w:sz w:val="24"/>
          <w:szCs w:val="24"/>
        </w:rPr>
        <w:t xml:space="preserve">ir piešķirts finansējums - </w:t>
      </w:r>
      <w:r>
        <w:rPr>
          <w:rFonts w:ascii="Times New Roman" w:hAnsi="Times New Roman" w:cs="Times New Roman"/>
          <w:sz w:val="24"/>
          <w:szCs w:val="24"/>
        </w:rPr>
        <w:t xml:space="preserve">53 pasākumi, kuriem kopējais pieejamais finansējums ir </w:t>
      </w:r>
      <w:r>
        <w:rPr>
          <w:rFonts w:ascii="Times New Roman" w:hAnsi="Times New Roman" w:eastAsia="Times New Roman" w:cs="Times New Roman"/>
          <w:color w:val="000000"/>
          <w:kern w:val="0"/>
          <w:sz w:val="24"/>
          <w:szCs w:val="24"/>
          <w:lang w:eastAsia="lv-LV"/>
          <w14:ligatures w14:val="none"/>
        </w:rPr>
        <w:t>476 082 274</w:t>
      </w:r>
      <w:r>
        <w:rPr>
          <w:rFonts w:ascii="Aptos Narrow" w:hAnsi="Aptos Narrow" w:eastAsia="Times New Roman" w:cs="Times New Roman"/>
          <w:b/>
          <w:bCs/>
          <w:color w:val="000000"/>
          <w:kern w:val="0"/>
          <w:lang w:eastAsia="lv-LV"/>
          <w14:ligatures w14:val="none"/>
        </w:rPr>
        <w:t xml:space="preserve"> </w:t>
      </w:r>
      <w:r>
        <w:rPr>
          <w:rFonts w:ascii="Times New Roman" w:hAnsi="Times New Roman" w:cs="Times New Roman"/>
          <w:i/>
          <w:iCs/>
          <w:sz w:val="24"/>
          <w:szCs w:val="24"/>
        </w:rPr>
        <w:t xml:space="preserve">euro </w:t>
      </w:r>
      <w:r>
        <w:rPr>
          <w:rFonts w:ascii="Times New Roman" w:hAnsi="Times New Roman" w:cs="Times New Roman"/>
          <w:sz w:val="24"/>
          <w:szCs w:val="24"/>
        </w:rPr>
        <w:t>(nodaļā “Pasākumi izvirzītā mērķa sasniegšanai, darbības rezultāti un to rezultatīvie rādītāji”);</w:t>
      </w:r>
    </w:p>
    <w:p w14:paraId="4AFE820A">
      <w:pPr>
        <w:pStyle w:val="52"/>
        <w:numPr>
          <w:ilvl w:val="0"/>
          <w:numId w:val="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priekšlikumi jauniem pasākumiem, ko paredzēts īstenot tikai Austrumu pierobežā, vai kuri Austrumu pierobežā tiks īstenoti kā daļa no uz visu Latviju vērstām aktivitātēm un kurām pašlaik </w:t>
      </w:r>
      <w:r>
        <w:rPr>
          <w:rFonts w:ascii="Times New Roman" w:hAnsi="Times New Roman" w:cs="Times New Roman"/>
          <w:b/>
          <w:sz w:val="24"/>
          <w:szCs w:val="24"/>
        </w:rPr>
        <w:t xml:space="preserve">nav piešķirts finansējums - </w:t>
      </w:r>
      <w:r>
        <w:rPr>
          <w:rFonts w:ascii="Times New Roman" w:hAnsi="Times New Roman" w:cs="Times New Roman"/>
          <w:sz w:val="24"/>
          <w:szCs w:val="24"/>
        </w:rPr>
        <w:t xml:space="preserve">attiecīgi nepieciešami līdzekļi 156 696 926 </w:t>
      </w:r>
      <w:r>
        <w:rPr>
          <w:rFonts w:ascii="Times New Roman" w:hAnsi="Times New Roman" w:cs="Times New Roman"/>
          <w:i/>
          <w:iCs/>
          <w:sz w:val="24"/>
          <w:szCs w:val="24"/>
        </w:rPr>
        <w:t>euro</w:t>
      </w:r>
      <w:r>
        <w:rPr>
          <w:rFonts w:ascii="Times New Roman" w:hAnsi="Times New Roman" w:cs="Times New Roman"/>
          <w:sz w:val="24"/>
          <w:szCs w:val="24"/>
        </w:rPr>
        <w:t xml:space="preserve"> apmērā (3.pielikums).</w:t>
      </w:r>
    </w:p>
    <w:p w14:paraId="5EBF355D">
      <w:pPr>
        <w:spacing w:before="60" w:after="60" w:line="240" w:lineRule="auto"/>
        <w:jc w:val="both"/>
        <w:rPr>
          <w:rStyle w:val="26"/>
          <w:rFonts w:ascii="Times New Roman" w:hAnsi="Times New Roman" w:cs="Times New Roman"/>
          <w:sz w:val="24"/>
          <w:szCs w:val="24"/>
          <w:shd w:val="clear" w:color="auto" w:fill="FFFFFF"/>
        </w:rPr>
      </w:pPr>
    </w:p>
    <w:p w14:paraId="6FC9B4C7">
      <w:pPr>
        <w:spacing w:before="60" w:after="60" w:line="240" w:lineRule="auto"/>
        <w:jc w:val="both"/>
        <w:rPr>
          <w:rStyle w:val="26"/>
          <w:rFonts w:ascii="Times New Roman" w:hAnsi="Times New Roman" w:cs="Times New Roman"/>
          <w:sz w:val="24"/>
          <w:szCs w:val="24"/>
          <w:shd w:val="clear" w:color="auto" w:fill="FFFFFF"/>
        </w:rPr>
      </w:pPr>
    </w:p>
    <w:p w14:paraId="18EFB21E">
      <w:pPr>
        <w:spacing w:before="60" w:after="60" w:line="240" w:lineRule="auto"/>
        <w:jc w:val="both"/>
        <w:rPr>
          <w:rStyle w:val="26"/>
          <w:rFonts w:ascii="Times New Roman" w:hAnsi="Times New Roman" w:cs="Times New Roman"/>
          <w:sz w:val="24"/>
          <w:szCs w:val="24"/>
          <w:shd w:val="clear" w:color="auto" w:fill="FFFFFF"/>
        </w:rPr>
      </w:pPr>
      <w:r>
        <w:rPr>
          <w:rStyle w:val="26"/>
          <w:rFonts w:ascii="Times New Roman" w:hAnsi="Times New Roman" w:cs="Times New Roman"/>
          <w:sz w:val="24"/>
          <w:szCs w:val="24"/>
          <w:shd w:val="clear" w:color="auto" w:fill="FFFFFF"/>
        </w:rPr>
        <w:t>DROŠĪBA</w:t>
      </w:r>
    </w:p>
    <w:p w14:paraId="3E90E55E">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Ņemot vērā ģeopolitisko situāciju ES Austrumu pierobežā pēc Krievijas sāktā pilna apmēra agresijas kara pret Ukrainu Austrumu, šī virziena ietvaros piešķirtā finansējuma ietvaros paredzēta:</w:t>
      </w:r>
    </w:p>
    <w:p w14:paraId="57BC1107">
      <w:pPr>
        <w:pStyle w:val="52"/>
        <w:numPr>
          <w:ilvl w:val="0"/>
          <w:numId w:val="4"/>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infrastruktūras attīstības projektu īstenošana un dienestu reaģēšanas spēju stiprināšana, izbūvējot 7 jaunus katastrofas pārvaldīšanas centrus Austrumu pierobežas teritorijā;</w:t>
      </w:r>
    </w:p>
    <w:p w14:paraId="64E61720">
      <w:pPr>
        <w:pStyle w:val="52"/>
        <w:numPr>
          <w:ilvl w:val="0"/>
          <w:numId w:val="4"/>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Latvijas Austrumu robežas pretmobilitātes plāna īstenošana, izveidojot pretmobilitātes materiālu parkus 25 vietās un nodrošinot vairāk kā 100 darba vietas vietējiem iedzīvotājiem;</w:t>
      </w:r>
    </w:p>
    <w:p w14:paraId="6A1221CE">
      <w:pPr>
        <w:pStyle w:val="52"/>
        <w:numPr>
          <w:ilvl w:val="0"/>
          <w:numId w:val="4"/>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sešu militāro bāžu darbības nodrošināšana un 550 Valsts aizsardzības dienesta karavīru izvietošana Latgales reģionā;</w:t>
      </w:r>
    </w:p>
    <w:p w14:paraId="54A7CD5A">
      <w:pPr>
        <w:pStyle w:val="52"/>
        <w:numPr>
          <w:ilvl w:val="0"/>
          <w:numId w:val="4"/>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divējāda lietojuma produktu ražošanas nodrošināšana, stiprinot reģiona gatavību krīzēm un atturēšanas spējas, kā arī uzņēmējdarbības iespējas; </w:t>
      </w:r>
    </w:p>
    <w:p w14:paraId="2AA0A028">
      <w:pPr>
        <w:pStyle w:val="52"/>
        <w:numPr>
          <w:ilvl w:val="0"/>
          <w:numId w:val="4"/>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pasākumu īstenošana informatīvās telpas stiprināšanai, krīzes vadībai un NVO sektora spēcināšanai;</w:t>
      </w:r>
    </w:p>
    <w:p w14:paraId="35E9BCFF">
      <w:pPr>
        <w:pStyle w:val="52"/>
        <w:numPr>
          <w:ilvl w:val="0"/>
          <w:numId w:val="4"/>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Austrumu pierobežas stiprināšanas jautājuma kā visas ES drošības jautājuma virzīšana un finansējuma piesaistīšana specifiski ES Austrumu pierobežas valstīm un reģioniem, kas robežojas ar Krieviju un/vai Baltkrieviju, Eiropas Savienības daudzgadu budžeta ietvarā pēc 2027.gada;</w:t>
      </w:r>
    </w:p>
    <w:p w14:paraId="2A02148A">
      <w:pPr>
        <w:pStyle w:val="52"/>
        <w:numPr>
          <w:ilvl w:val="0"/>
          <w:numId w:val="4"/>
        </w:numPr>
        <w:spacing w:before="60" w:after="60" w:line="240" w:lineRule="auto"/>
        <w:ind w:left="714" w:hanging="357"/>
        <w:contextualSpacing w:val="0"/>
        <w:jc w:val="both"/>
        <w:rPr>
          <w:rStyle w:val="26"/>
          <w:rFonts w:ascii="Times New Roman" w:hAnsi="Times New Roman" w:cs="Times New Roman"/>
          <w:b w:val="0"/>
          <w:bCs w:val="0"/>
          <w:sz w:val="24"/>
          <w:szCs w:val="24"/>
        </w:rPr>
      </w:pPr>
      <w:r>
        <w:rPr>
          <w:rFonts w:ascii="Times New Roman" w:hAnsi="Times New Roman" w:cs="Times New Roman"/>
          <w:sz w:val="24"/>
          <w:szCs w:val="24"/>
        </w:rPr>
        <w:t>augstāko valsts amatpersonu vizīšu skaita palielināšana Austrumu pierobežā, uzlabojot komunikāciju un runājot ar iedzīvotājiem uz vietas par to, kā būtu iespējams uzlabot politikas īstenošanu un labāk apmierināt viņu vajadzības.</w:t>
      </w:r>
    </w:p>
    <w:p w14:paraId="360F6C04">
      <w:pPr>
        <w:spacing w:before="60" w:after="60" w:line="240" w:lineRule="auto"/>
        <w:jc w:val="both"/>
        <w:rPr>
          <w:rStyle w:val="26"/>
          <w:rFonts w:ascii="Times New Roman" w:hAnsi="Times New Roman" w:cs="Times New Roman"/>
          <w:sz w:val="24"/>
          <w:szCs w:val="24"/>
          <w:shd w:val="clear" w:color="auto" w:fill="FFFFFF"/>
        </w:rPr>
      </w:pPr>
    </w:p>
    <w:p w14:paraId="0D72A932">
      <w:pPr>
        <w:spacing w:before="60" w:after="60" w:line="240" w:lineRule="auto"/>
        <w:jc w:val="both"/>
        <w:rPr>
          <w:rStyle w:val="26"/>
          <w:rFonts w:ascii="Times New Roman" w:hAnsi="Times New Roman" w:cs="Times New Roman"/>
          <w:sz w:val="24"/>
          <w:szCs w:val="24"/>
          <w:shd w:val="clear" w:color="auto" w:fill="FFFFFF"/>
        </w:rPr>
      </w:pPr>
      <w:r>
        <w:rPr>
          <w:rStyle w:val="26"/>
          <w:rFonts w:ascii="Times New Roman" w:hAnsi="Times New Roman" w:cs="Times New Roman"/>
          <w:sz w:val="24"/>
          <w:szCs w:val="24"/>
          <w:shd w:val="clear" w:color="auto" w:fill="FFFFFF"/>
        </w:rPr>
        <w:t>EKONOMIKA</w:t>
      </w:r>
    </w:p>
    <w:p w14:paraId="02D1AC39">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Austrumu pierobežas teritorijas iedzīvotāju labklājības celšanai piešķirtā finansējuma ietvaros būtiski ir īstenot reģiona ekonomikas attīstību veicinošus atbalsta pasākumus, padarot Austrumu pierobežas teritoriju par pievilcīgāku vietu uzņēmējdarbības veikšanai, t.sk.:</w:t>
      </w:r>
    </w:p>
    <w:p w14:paraId="2A851537">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712 jaunu darba vietu radīšana īstenoto uzņēmējdarbības atbalsta pasākumu rezultātā, t.sk. eksportējošos uzņēmumos, Latgales Speciālās ekonomiskās zonas instrumenta darbības ietvaros, industriālajā parkā u.c.;</w:t>
      </w:r>
    </w:p>
    <w:p w14:paraId="4E8BB303">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atbalsta sniegšana 34 mazajiem un vidējiem uzņēmumiem inovāciju klāsteru programmas ietvaros;</w:t>
      </w:r>
    </w:p>
    <w:p w14:paraId="4558A545">
      <w:pPr>
        <w:pStyle w:val="52"/>
        <w:numPr>
          <w:ilvl w:val="0"/>
          <w:numId w:val="5"/>
        </w:numPr>
        <w:spacing w:before="60" w:after="60" w:line="240" w:lineRule="auto"/>
        <w:ind w:left="714" w:hanging="357"/>
        <w:jc w:val="both"/>
        <w:rPr>
          <w:rStyle w:val="26"/>
          <w:rFonts w:ascii="Times New Roman" w:hAnsi="Times New Roman" w:cs="Times New Roman"/>
          <w:b w:val="0"/>
          <w:bCs w:val="0"/>
          <w:sz w:val="24"/>
          <w:szCs w:val="24"/>
        </w:rPr>
      </w:pPr>
      <w:r>
        <w:rPr>
          <w:rFonts w:ascii="Times New Roman" w:hAnsi="Times New Roman" w:cs="Times New Roman"/>
          <w:sz w:val="24"/>
          <w:szCs w:val="24"/>
        </w:rPr>
        <w:t xml:space="preserve">investīciju novirzīšana industriālā parka izveidei, attīstot citu infrastruktūru un teritorijas uzņēmējdarbības atbalstam, piesaistot 56,9 milj. </w:t>
      </w:r>
      <w:r>
        <w:rPr>
          <w:rFonts w:ascii="Times New Roman" w:hAnsi="Times New Roman" w:cs="Times New Roman"/>
          <w:i/>
          <w:iCs/>
          <w:sz w:val="24"/>
          <w:szCs w:val="24"/>
        </w:rPr>
        <w:t>euro</w:t>
      </w:r>
      <w:r>
        <w:rPr>
          <w:rFonts w:ascii="Times New Roman" w:hAnsi="Times New Roman" w:cs="Times New Roman"/>
          <w:sz w:val="24"/>
          <w:szCs w:val="24"/>
        </w:rPr>
        <w:t xml:space="preserve"> privāto investīciju</w:t>
      </w:r>
      <w:r>
        <w:rPr>
          <w:rStyle w:val="26"/>
          <w:rFonts w:ascii="Times New Roman" w:hAnsi="Times New Roman" w:cs="Times New Roman"/>
          <w:b w:val="0"/>
          <w:bCs w:val="0"/>
          <w:sz w:val="24"/>
          <w:szCs w:val="24"/>
        </w:rPr>
        <w:t xml:space="preserve">; </w:t>
      </w:r>
    </w:p>
    <w:p w14:paraId="6074B1FD">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publiskās privātās partnerības modeļa izstrāde mājokļu būvniecībai ar īres subsīdijām; </w:t>
      </w:r>
    </w:p>
    <w:p w14:paraId="77DD2E6B">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investīciju ieguldīšana mobilitātes veicināšanai, t.sk. ceļu infrastruktūras pirms robežšķērsošanas vietām attīstībai un viedās robežas risinājumi, Daugavpils Vienības tilta rekonstrukcija;</w:t>
      </w:r>
    </w:p>
    <w:p w14:paraId="7B4AB435">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ieguldījumu veikšana publiskās ārtelpas attīstībā, izveidojot jaunas vai atjaunotas atvērtās zonas (publiskās teritorijas) pilsētvidē 240 482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platībā;</w:t>
      </w:r>
    </w:p>
    <w:p w14:paraId="7BF04079">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remigrācijas veicināšana, nodrošinot 95 atgriezušās personas gadā;</w:t>
      </w:r>
    </w:p>
    <w:p w14:paraId="4AE65F76">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viedo pašvaldību attīstības sekmēšana, izveidojot vismaz vienu viedu risinājumu pašvaldību autonomo funkciju īstenošanā un pašvaldību pakalpojumu nodrošināšanā;</w:t>
      </w:r>
    </w:p>
    <w:p w14:paraId="02E9154D">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18 bezemisiju transportlīdzekļu iegāde pašvaldību vajadzībām, uzmanību pievēršot izglītojamo mobilitātei un vienlaikus veicinot skolu tīkla sasniedzamību;</w:t>
      </w:r>
    </w:p>
    <w:p w14:paraId="42E2DFDF">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valsts reģionālo un vietējo autoceļu tīkla uzlabošana 34 km garumā, nodrošinot novadu administratīvo centru un tajos sniegto pakalpojumu un darba vietu drošai sasniedzamību;</w:t>
      </w:r>
    </w:p>
    <w:p w14:paraId="14B350FF">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pašvaldību ēku un infrastruktūras uzlabošana, veicinot pāreju uz atjaunojamo energoresursu tehnoloģiju izmantošanu un uzlabojot energoefektivitāti, panākot primārās enerģijas patēriņa pašvaldību ēkās un infrastruktūrā samazinājumu vismaz par 1 218 856 kWh/gadā;</w:t>
      </w:r>
    </w:p>
    <w:p w14:paraId="3E370F18">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aizdevumu sniegšana ar kapitāla atlaidi eksportējošiem komersantiem, aizdevumu produktivitātes kāpināšanai, kā arī starta un izaugsmes aizdevumu sniegšana, nodrošinot finansējumu uzņēmējiem 36,5 milj. </w:t>
      </w:r>
      <w:r>
        <w:rPr>
          <w:rFonts w:ascii="Times New Roman" w:hAnsi="Times New Roman" w:cs="Times New Roman"/>
          <w:i/>
          <w:iCs/>
          <w:sz w:val="24"/>
          <w:szCs w:val="24"/>
        </w:rPr>
        <w:t>euro</w:t>
      </w:r>
      <w:r>
        <w:rPr>
          <w:rFonts w:ascii="Times New Roman" w:hAnsi="Times New Roman" w:cs="Times New Roman"/>
          <w:sz w:val="24"/>
          <w:szCs w:val="24"/>
        </w:rPr>
        <w:t xml:space="preserve"> apmērā;</w:t>
      </w:r>
    </w:p>
    <w:p w14:paraId="614AD7FE">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143 sociālo mājokļu atjaunošana vai jaunu sociālo mājokļu būvniecība;</w:t>
      </w:r>
    </w:p>
    <w:p w14:paraId="77AA7F01">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ieguldījumu nodrošināšana daudzdzīvokļu māju energoefektivitātes uzlabošanai un pārejai uz atjaunojamo energoresursu tehnoloģiju izmantošanu, samazinot primārās enerģijas patēriņu 1 390,65 MWh gadā; </w:t>
      </w:r>
    </w:p>
    <w:p w14:paraId="0F4D2808">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atbalsta sniegšana energoefektivitātes paaugstināšanai uzņēmējdarbībā, ietverot pāreju uz atjaunojamo energoresursu tehnoloģiju izmantošanu siltumapgādē, nodrošinot </w:t>
      </w:r>
      <w:r>
        <w:rPr>
          <w:rFonts w:ascii="Times New Roman" w:hAnsi="Times New Roman" w:eastAsia="Times New Roman" w:cs="Times New Roman"/>
          <w:sz w:val="24"/>
          <w:szCs w:val="24"/>
        </w:rPr>
        <w:t>siltumnīcefekta gāzu emisiju ietaupījumu 674,25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ekvivalenta tonnas gadā</w:t>
      </w:r>
      <w:r>
        <w:rPr>
          <w:rFonts w:ascii="Times New Roman" w:hAnsi="Times New Roman" w:cs="Times New Roman"/>
          <w:sz w:val="24"/>
          <w:szCs w:val="24"/>
        </w:rPr>
        <w:t>;</w:t>
      </w:r>
    </w:p>
    <w:p w14:paraId="1E057EF2">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atbalsta sniegšana ieguldījumiem lauku saimniecībās konkurētspējas veicināšanai, mazo saimniecību attīstībai, gados jaunu lauksaimniecību dibināšanai, sniedzot atbalstu vairāk kā 10 000 saimniecībām;</w:t>
      </w:r>
    </w:p>
    <w:p w14:paraId="53E3BAB1">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atbalsta nodrošināšana nelauksaimniecības uzņēmējdarbības attīstībai, tostarp jaunu darba vietu radīšanai, atbilstoši vietējo rīcības grupu izstrādātajām stratēģijām, uzlabojot piekļuvi pakalpojumiem un infrastruktūrai 30% lauku teritorijas iedzīvotājiem;</w:t>
      </w:r>
    </w:p>
    <w:p w14:paraId="03160E57">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investīciju veikšana platjoslas tīklu "pēdējās jūdzes" infrastruktūras attīstībā, 1657 mājsaimniecībām, uzņēmumiem, izglītības iestādēm, ārstniecības iestādēm un citā sabiedriskām ēkām nodrošinot piekļuvi platjoslas savienojumiem ar ļoti augstas veiktspējas tīklu.</w:t>
      </w:r>
    </w:p>
    <w:p w14:paraId="5394C5BC">
      <w:pPr>
        <w:spacing w:before="60" w:after="60" w:line="240" w:lineRule="auto"/>
        <w:jc w:val="both"/>
        <w:rPr>
          <w:rStyle w:val="26"/>
          <w:rFonts w:ascii="Times New Roman" w:hAnsi="Times New Roman" w:cs="Times New Roman"/>
          <w:sz w:val="24"/>
          <w:szCs w:val="24"/>
        </w:rPr>
      </w:pPr>
    </w:p>
    <w:p w14:paraId="2CDAC8AD">
      <w:pPr>
        <w:spacing w:before="60" w:after="60" w:line="240" w:lineRule="auto"/>
        <w:jc w:val="both"/>
        <w:rPr>
          <w:rStyle w:val="26"/>
          <w:rFonts w:ascii="Times New Roman" w:hAnsi="Times New Roman" w:cs="Times New Roman"/>
          <w:b w:val="0"/>
          <w:bCs w:val="0"/>
          <w:sz w:val="24"/>
          <w:szCs w:val="24"/>
        </w:rPr>
      </w:pPr>
      <w:r>
        <w:rPr>
          <w:rStyle w:val="26"/>
          <w:rFonts w:ascii="Times New Roman" w:hAnsi="Times New Roman" w:cs="Times New Roman"/>
          <w:sz w:val="24"/>
          <w:szCs w:val="24"/>
        </w:rPr>
        <w:t>CILVĒKRESURSI</w:t>
      </w:r>
    </w:p>
    <w:p w14:paraId="605166D1">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Austrumu pierobežas drošības un ekonomiskās attīstības jautājumi ir cieši saistīti ar teritorijas apdzīvotību, Austrumu pierobežas pievilcīgumam īstenojot šādus pasākumus</w:t>
      </w:r>
      <w:r>
        <w:rPr>
          <w:rFonts w:ascii="Times New Roman" w:hAnsi="Times New Roman" w:cs="Times New Roman"/>
          <w:sz w:val="24"/>
          <w:szCs w:val="24"/>
        </w:rPr>
        <w:t>:</w:t>
      </w:r>
    </w:p>
    <w:p w14:paraId="28318AAF">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uzņēmēju vajadzību un augstākās izglītības un zinātnes piedāvājuma sinerģijas stiprināšana;</w:t>
      </w:r>
    </w:p>
    <w:p w14:paraId="6513C9FB">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Rēzeknes Tehnoloģiju akadēmijas integrācija Rīgas Tehniskās universitātes ekosistēmā, nodrošinot 4 jaunas studiju programmas un grantus doktorantūras un postdoktorantūras studentiem; </w:t>
      </w:r>
    </w:p>
    <w:p w14:paraId="16AF9B13">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Daugavpils Universitātes darbība, nodrošinot konkurētspējīgu augstākās izglītības piedāvājumu reģionā, stiprinot zinātnes kapacitāti ar ietekmi uz ekonomisko transformāciju, piesaistot un noturot akadēmisko personālu;</w:t>
      </w:r>
    </w:p>
    <w:p w14:paraId="0FA21BDE">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reģionam un lauksaimniecības nozarei nozīmīgās Malnavas koledžas darbības turpināšana koledžas statusā, īstenojot īsā cikla augstākās izglītības programmas, kā arī vismaz 8 pieejamības jeb izņēmuma  skolu nodrošināšana; </w:t>
      </w:r>
    </w:p>
    <w:p w14:paraId="5913C147">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vismaz 200 jauniešu apmācīšana Militārā pamatkursa pirmajā līmenī;</w:t>
      </w:r>
    </w:p>
    <w:p w14:paraId="65EAB262">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slimnīcu neatliekamās medicīnas un pacientu uzņemšanas nodaļas darba stiprināšana, papildus izveidojot 34 aprūpes atbalsta personu darba vietas; </w:t>
      </w:r>
    </w:p>
    <w:p w14:paraId="5A3503E4">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VM līdzdalība SIA “Daugavpils reģionālā slimnīca”, kas nodrošinās vienlīdz pieejamus un kvalitatīvus veselības aprūpes pakalpojumus Latgales reģiona iedzīvotājiem;</w:t>
      </w:r>
    </w:p>
    <w:p w14:paraId="2540AF69">
      <w:pPr>
        <w:pStyle w:val="52"/>
        <w:numPr>
          <w:ilvl w:val="0"/>
          <w:numId w:val="5"/>
        </w:numPr>
        <w:spacing w:before="60" w:after="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šķēršļu mazināšana vispārējās izglītības satura apguvei, nodrošinot portatīvās datortehnikas pieejamību izglītojamiem no sociāli neaizsargātām grupām un nodrošinot datu pārraides pieejamību digitālo tehnoloģiju izmantošanai mācību procesā.</w:t>
      </w:r>
    </w:p>
    <w:p w14:paraId="06A83E91">
      <w:pPr>
        <w:spacing w:before="60" w:after="60" w:line="240" w:lineRule="auto"/>
        <w:jc w:val="both"/>
        <w:rPr>
          <w:rFonts w:ascii="Times New Roman" w:hAnsi="Times New Roman" w:cs="Times New Roman"/>
          <w:sz w:val="24"/>
          <w:szCs w:val="24"/>
        </w:rPr>
      </w:pPr>
    </w:p>
    <w:p w14:paraId="717FBFD0">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Vienlaikus, ņemot vērā ģeopolitiskās situācijas ietekmes ilgtermiņa raksturu, attiecībā uz investīciju prioritātēm Austrumu pierobežā pēc 2027.gada, norādāmas:</w:t>
      </w:r>
    </w:p>
    <w:p w14:paraId="4CEE93EF">
      <w:pPr>
        <w:pStyle w:val="52"/>
        <w:numPr>
          <w:ilvl w:val="0"/>
          <w:numId w:val="6"/>
        </w:numPr>
        <w:spacing w:before="60" w:after="6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atbalsts ekonomiskās attīstības veicināšanai, pakalpojumu pieejamībai un drošības situācijas uzlabošanai, stiprinot noturību un veicinot iedzīvotāju noturēšanu un piesaisti;</w:t>
      </w:r>
    </w:p>
    <w:p w14:paraId="77AE1DF3">
      <w:pPr>
        <w:pStyle w:val="52"/>
        <w:numPr>
          <w:ilvl w:val="0"/>
          <w:numId w:val="6"/>
        </w:numPr>
        <w:spacing w:before="60" w:after="6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atbalsts divējādā lietojuma infrastruktūrai, krīzes vadības pasākumiem;</w:t>
      </w:r>
    </w:p>
    <w:p w14:paraId="6DBFE338">
      <w:pPr>
        <w:pStyle w:val="52"/>
        <w:numPr>
          <w:ilvl w:val="0"/>
          <w:numId w:val="6"/>
        </w:numPr>
        <w:spacing w:before="60" w:after="6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ES pārrobežu sadarbības programmu paplašināšana, dodot iespēju slēgto sadarbības virzienu vietā sadarboties, piemēram, ar Polijas vai Somijas reģioniem;</w:t>
      </w:r>
    </w:p>
    <w:p w14:paraId="757CC391">
      <w:pPr>
        <w:pStyle w:val="52"/>
        <w:numPr>
          <w:ilvl w:val="0"/>
          <w:numId w:val="6"/>
        </w:numPr>
        <w:spacing w:before="60" w:after="6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rīcības reģionālo un vietējo institūciju kapacitātes stiprināšanai;</w:t>
      </w:r>
    </w:p>
    <w:p w14:paraId="4E6784FD">
      <w:pPr>
        <w:pStyle w:val="52"/>
        <w:numPr>
          <w:ilvl w:val="0"/>
          <w:numId w:val="6"/>
        </w:numPr>
        <w:spacing w:before="60" w:after="6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atbalsts plāna pasākumiem, kuriem šobrīd nav pieejams finansējums vai kas ir īstenojami ilgtermiņā, t.sk. uzņēmējdarbības sasaiste ar izglītības piedāvājumu, vietējās ekonomikas pārorientācija, pakalpojumu sniegšanas veidu pielāgošana demogrāfiskajai situācijai u.c. </w:t>
      </w:r>
    </w:p>
    <w:p w14:paraId="7465CCBA">
      <w:pPr>
        <w:spacing w:before="60" w:after="60" w:line="240" w:lineRule="auto"/>
        <w:jc w:val="both"/>
        <w:rPr>
          <w:rStyle w:val="26"/>
          <w:rFonts w:ascii="Times New Roman" w:hAnsi="Times New Roman" w:cs="Times New Roman"/>
          <w:b w:val="0"/>
          <w:bCs w:val="0"/>
          <w:sz w:val="24"/>
          <w:szCs w:val="24"/>
          <w:shd w:val="clear" w:color="auto" w:fill="FFFFFF"/>
        </w:rPr>
      </w:pPr>
    </w:p>
    <w:p w14:paraId="5E8456D8">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Plāns pašlaik paredz tiešus ieguldījumus un to sasniedzamos rezultātus, vienlaikus plāna ieviešanas ietvaros jāveic monitorings par ieguvumiem plāna pasākumu ieviešanā (netiešā ietekme) – ietekme uz uzņēmējdarbību/nodarbinātību un pakalpojumu sniegšanu, ar infrastruktūras izveidi un pasākumu nodrošināšanu saistīto netiešo ieņēmumu analīze. Plāna īstenošanas uzraudzībai VARAM aicinās Latvijas Bankas ekspertus veikt šo izvērtējumu.</w:t>
      </w:r>
    </w:p>
    <w:p w14:paraId="5F267230">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Plāna ieviešana notiks, strādājot partnerībā ar nacionālā, reģionālā un vietējā līmeņa iestādēm un ieinteresētajām pusēm.</w:t>
      </w:r>
    </w:p>
    <w:p w14:paraId="5FF44AC3">
      <w:pPr>
        <w:spacing w:line="240" w:lineRule="auto"/>
        <w:jc w:val="both"/>
        <w:rPr>
          <w:rFonts w:ascii="Times New Roman" w:hAnsi="Times New Roman" w:cs="Times New Roman"/>
          <w:sz w:val="24"/>
          <w:szCs w:val="24"/>
          <w:lang w:eastAsia="lv-LV"/>
        </w:rPr>
      </w:pPr>
    </w:p>
    <w:p w14:paraId="4886AA56">
      <w:pPr>
        <w:spacing w:after="120" w:line="240" w:lineRule="auto"/>
        <w:jc w:val="both"/>
        <w:rPr>
          <w:rFonts w:ascii="Times New Roman" w:hAnsi="Times New Roman" w:cs="Times New Roman"/>
          <w:sz w:val="24"/>
          <w:szCs w:val="24"/>
        </w:rPr>
      </w:pPr>
    </w:p>
    <w:p w14:paraId="0506F090">
      <w:pPr>
        <w:spacing w:line="240" w:lineRule="auto"/>
        <w:jc w:val="both"/>
        <w:rPr>
          <w:rFonts w:ascii="Times New Roman" w:hAnsi="Times New Roman" w:cs="Times New Roman"/>
          <w:sz w:val="24"/>
          <w:szCs w:val="24"/>
        </w:rPr>
      </w:pPr>
    </w:p>
    <w:p w14:paraId="310A3831">
      <w:pPr>
        <w:spacing w:line="240" w:lineRule="auto"/>
        <w:jc w:val="both"/>
        <w:rPr>
          <w:rFonts w:ascii="Times New Roman" w:hAnsi="Times New Roman" w:cs="Times New Roman"/>
          <w:sz w:val="24"/>
          <w:szCs w:val="24"/>
        </w:rPr>
      </w:pPr>
    </w:p>
    <w:p w14:paraId="424ACAD7">
      <w:pPr>
        <w:spacing w:line="240" w:lineRule="auto"/>
        <w:jc w:val="both"/>
        <w:rPr>
          <w:rFonts w:ascii="Times New Roman" w:hAnsi="Times New Roman" w:cs="Times New Roman"/>
          <w:sz w:val="24"/>
          <w:szCs w:val="24"/>
        </w:rPr>
      </w:pPr>
    </w:p>
    <w:p w14:paraId="254CD873">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7FF5610C">
      <w:pPr>
        <w:pStyle w:val="2"/>
        <w:numPr>
          <w:ilvl w:val="0"/>
          <w:numId w:val="7"/>
        </w:numPr>
        <w:rPr>
          <w:rFonts w:cs="Times New Roman"/>
        </w:rPr>
      </w:pPr>
      <w:bookmarkStart w:id="17" w:name="_Toc151111800"/>
      <w:bookmarkStart w:id="18" w:name="_Toc180574011"/>
      <w:r>
        <w:rPr>
          <w:rFonts w:cs="Times New Roman"/>
        </w:rPr>
        <w:t>Esošās situācijas raksturojums</w:t>
      </w:r>
      <w:bookmarkEnd w:id="17"/>
      <w:bookmarkEnd w:id="18"/>
    </w:p>
    <w:p w14:paraId="78468E6E">
      <w:pPr>
        <w:spacing w:after="120" w:line="240" w:lineRule="auto"/>
        <w:jc w:val="both"/>
        <w:rPr>
          <w:rFonts w:ascii="Times New Roman" w:hAnsi="Times New Roman" w:cs="Times New Roman"/>
          <w:sz w:val="24"/>
          <w:szCs w:val="24"/>
        </w:rPr>
      </w:pPr>
    </w:p>
    <w:p w14:paraId="38A530B6">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Laika periodā no 2018. līdz 2021.gadam IKP uz vienu iedzīvotāju starp reģioniem visstraujāk pieaudzis reģionos ārpus Rīgas reģiona – Latgales reģionā IKP uz vienu iedzīvotāju pieaudzis par 25% (sasniedzot 8 833 </w:t>
      </w:r>
      <w:r>
        <w:rPr>
          <w:rFonts w:ascii="Times New Roman" w:hAnsi="Times New Roman" w:cs="Times New Roman"/>
          <w:i/>
          <w:iCs/>
          <w:sz w:val="24"/>
          <w:szCs w:val="24"/>
        </w:rPr>
        <w:t>euro</w:t>
      </w:r>
      <w:r>
        <w:rPr>
          <w:rFonts w:ascii="Times New Roman" w:hAnsi="Times New Roman" w:cs="Times New Roman"/>
          <w:sz w:val="24"/>
          <w:szCs w:val="24"/>
        </w:rPr>
        <w:t>), Vidzemes reģionā par 23%, Zemgales reģionā par 22%, Kurzemes reģionā par 18%, Rīgas reģionā tikai par 13%:</w:t>
      </w:r>
    </w:p>
    <w:p w14:paraId="344A95E0">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429250" cy="1612900"/>
            <wp:effectExtent l="0" t="0" r="0" b="6350"/>
            <wp:docPr id="153936732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C357F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Vienlaikus būtiski uzsvērt, ka IKP uz vienu iedzīvotāju starpība starp reģioniem samazinās, piemēram, ja 2018.gadā Rīgas reģiona IKP uz vienu iedzīvotāju bija 3,1 reizi lielāks nekā Latgales reģiona, tad 2021.gadā tas ir samazinājies līdz 2,8 reizēm.</w:t>
      </w:r>
    </w:p>
    <w:p w14:paraId="7601CF8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Divi galvenie aspekti, kas raksturo izaicinājumus Austrumu pierobežā, ir: </w:t>
      </w:r>
    </w:p>
    <w:p w14:paraId="3C4131CE">
      <w:pPr>
        <w:pStyle w:val="52"/>
        <w:numPr>
          <w:ilvl w:val="0"/>
          <w:numId w:val="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reģionālās attīstības atšķirības salīdzinājumā ar citiem Latvijas reģioniem un valsts vidējiem rādītājiem (nelabvēlīgas tendences teritorijas sociālekonomiskajos rādītājos, kas pastāv ilgtermiņā)</w:t>
      </w:r>
      <w:r>
        <w:rPr>
          <w:rFonts w:ascii="Times New Roman" w:hAnsi="Times New Roman" w:cs="Times New Roman"/>
          <w:sz w:val="24"/>
          <w:szCs w:val="24"/>
          <w:vertAlign w:val="superscript"/>
        </w:rPr>
        <w:footnoteReference w:id="7"/>
      </w:r>
      <w:r>
        <w:rPr>
          <w:rFonts w:ascii="Times New Roman" w:hAnsi="Times New Roman" w:cs="Times New Roman"/>
          <w:sz w:val="24"/>
          <w:szCs w:val="24"/>
        </w:rPr>
        <w:t>;</w:t>
      </w:r>
    </w:p>
    <w:p w14:paraId="6CC860CC">
      <w:pPr>
        <w:pStyle w:val="52"/>
        <w:numPr>
          <w:ilvl w:val="0"/>
          <w:numId w:val="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Krievijas pilna apmēra agresijas kara pret Ukrainu radītā ietekme.</w:t>
      </w:r>
    </w:p>
    <w:p w14:paraId="32767E89">
      <w:pPr>
        <w:pStyle w:val="52"/>
        <w:spacing w:after="120" w:line="240" w:lineRule="auto"/>
        <w:ind w:left="360"/>
        <w:jc w:val="both"/>
        <w:rPr>
          <w:rFonts w:ascii="Times New Roman" w:hAnsi="Times New Roman" w:cs="Times New Roman"/>
          <w:sz w:val="24"/>
          <w:szCs w:val="24"/>
        </w:rPr>
      </w:pPr>
    </w:p>
    <w:p w14:paraId="64C34ED2">
      <w:pPr>
        <w:pStyle w:val="52"/>
        <w:spacing w:after="120" w:line="240" w:lineRule="auto"/>
        <w:ind w:left="360"/>
        <w:jc w:val="both"/>
        <w:rPr>
          <w:rFonts w:ascii="Times New Roman" w:hAnsi="Times New Roman" w:cs="Times New Roman"/>
          <w:sz w:val="24"/>
          <w:szCs w:val="24"/>
        </w:rPr>
      </w:pPr>
      <w:r>
        <w:rPr>
          <w:rFonts w:ascii="Times New Roman" w:hAnsi="Times New Roman" w:cs="Times New Roman"/>
        </w:rPr>
        <w:drawing>
          <wp:inline distT="0" distB="0" distL="0" distR="0">
            <wp:extent cx="6108700" cy="1854200"/>
            <wp:effectExtent l="0" t="0" r="6350" b="0"/>
            <wp:docPr id="833815133" name="Picture 2" descr="A close-up of several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15133" name="Picture 2" descr="A close-up of several label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8700" cy="1854200"/>
                    </a:xfrm>
                    <a:prstGeom prst="rect">
                      <a:avLst/>
                    </a:prstGeom>
                  </pic:spPr>
                </pic:pic>
              </a:graphicData>
            </a:graphic>
          </wp:inline>
        </w:drawing>
      </w:r>
    </w:p>
    <w:p w14:paraId="594179C3">
      <w:pPr>
        <w:pStyle w:val="52"/>
        <w:spacing w:after="120" w:line="240" w:lineRule="auto"/>
        <w:ind w:left="360"/>
        <w:jc w:val="both"/>
        <w:rPr>
          <w:rFonts w:ascii="Times New Roman" w:hAnsi="Times New Roman" w:cs="Times New Roman"/>
          <w:sz w:val="24"/>
          <w:szCs w:val="24"/>
        </w:rPr>
      </w:pPr>
      <w:r>
        <w:rPr>
          <w:rStyle w:val="60"/>
          <w:rFonts w:ascii="Times New Roman" w:hAnsi="Times New Roman" w:cs="Times New Roman"/>
          <w:sz w:val="20"/>
          <w:szCs w:val="20"/>
        </w:rPr>
        <w:t>Avots: Centrālās statistikas pārvaldes dati.</w:t>
      </w:r>
    </w:p>
    <w:p w14:paraId="03B1A7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Kā jau minēts ievadā, plāns tā sākotnējā izstrādes posmā bija vērsts galvenokārt uz ekonomiskās izaugsmes veicināšanu un reģionālo atšķirību mazināšanu. Taču, izvērtējot ģeopolitisko situāciju, ko pamato arī zemāk norādītie pētījumi, būtiska loma plānā tika iezīmēta Latgales reģiona un visas Austrumu pierobežas drošības jautājumiem. Sadarbībā ar nozaru ministrijām pilnveidotā plāna pašreizējā redakcija saturiski ir daudz plašāka, nekā tās sākotnējais priekšlikums, ietverot arī tādus jautājumus kā uzņēmējdarbība, mobilitāte, mājokļi u.c.</w:t>
      </w:r>
    </w:p>
    <w:p w14:paraId="7464161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Ņemot vērā cita starpā Somijas pieredzi, nepieciešams padarīt Latvijas Austrumu pierobežu par pievilcīgāku vietu gan tautsaimniecības attīstības veicināšanai un investoru piesaistei, gan iedzīvotāju noturēšanai un piesaistei Austrumu pierobežas teritorijai. Robežas slēgšana un sadarbības ar Krieviju un Baltkrieviju pārtraukšana, apstājoties cita starpā pārrobežu tirdzniecībai un tūrismam, ir izaicinājums un vienlaikus arī stimuls Austrumu pierobežā meklēt jaunus attīstības un izaugsmes virzienus. Cita starpā, iedvesmojoties no Somijas piemēra, arī šajā plānā ir ņemti vērā drošības izaicinājumi, attiecīgi paredzot uz drošības stiprināšanu vērstas rīcības. Dominējošā tēma plānā gan šajā, gan Igaunijas un Somijas gadījumā ir uzņēmējdarbības, ekonomiskās aktivitātes veicināšana, nodrošinot jaunu darbavietu radīšanu Austrumu pierobežā kā pamatu iedzīvotāju labklājības celšanai un attiecīgi depopulācijas samazināšanai. Tāpat kā Somijā, arī šajā plānā uzsvērta nepieciešamība pārvirzīt ekonomiskās sadarbības saites no agresorvalstīm uz citiem sadarbības partneriem. Latvijas Austrumu pierobežā līdzīgi Somijas dokumentam arī plānotas aktivitātes attiecībā uz izglītību un pētniecību, kā arī teritorijas sasniedzamību. Arī ar Igaunijas Austrumu pierobežas plānu ir daudz kopīga – uzņēmējdarbības veicināšana, dzīves vides uzlabošana, pilsoniskās sabiedrības stiprināšana Austrumu pierobežā.</w:t>
      </w:r>
    </w:p>
    <w:p w14:paraId="1F095585">
      <w:pPr>
        <w:spacing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 pētījumiem, kas veikti pirms </w:t>
      </w:r>
      <w:r>
        <w:rPr>
          <w:rFonts w:ascii="Times New Roman" w:hAnsi="Times New Roman" w:cs="Times New Roman"/>
          <w:sz w:val="24"/>
          <w:szCs w:val="24"/>
        </w:rPr>
        <w:t>Krievijas pilna apmēra agresijas kara pret Ukrainu</w:t>
      </w:r>
      <w:r>
        <w:rPr>
          <w:rFonts w:ascii="Times New Roman" w:hAnsi="Times New Roman" w:eastAsia="Times New Roman" w:cs="Times New Roman"/>
          <w:sz w:val="24"/>
          <w:szCs w:val="24"/>
        </w:rPr>
        <w:t xml:space="preserve"> uzsākšanas, ESPON pētījuma “BusDev - Uzņēmējdarbības attīstības iespējas pie ES ārējām robežām” </w:t>
      </w:r>
      <w:r>
        <w:rPr>
          <w:rFonts w:ascii="Times New Roman" w:hAnsi="Times New Roman" w:cs="Times New Roman"/>
          <w:sz w:val="24"/>
          <w:szCs w:val="24"/>
        </w:rPr>
        <w:t>ziņojumā</w:t>
      </w:r>
      <w:r>
        <w:rPr>
          <w:rStyle w:val="20"/>
          <w:rFonts w:ascii="Times New Roman" w:hAnsi="Times New Roman" w:eastAsia="Times New Roman" w:cs="Times New Roman"/>
          <w:sz w:val="24"/>
          <w:szCs w:val="24"/>
        </w:rPr>
        <w:footnoteReference w:id="8"/>
      </w:r>
      <w:r>
        <w:rPr>
          <w:rFonts w:ascii="Times New Roman" w:hAnsi="Times New Roman" w:eastAsia="Times New Roman" w:cs="Times New Roman"/>
          <w:sz w:val="24"/>
          <w:szCs w:val="24"/>
        </w:rPr>
        <w:t xml:space="preserve"> norādīts, ka robeža izjauc ekonomisko telpu un slēdz tirgus tās otrā pusē. Apvienojumā ar perifēro atrašanās vietu un reto apdzīvotību tas negatīvi ietekmē reģionālo ekonomiku. Rezultātā uzņēmumi saskaras ar problēmām, kas saistītas ar piekļuvi visu veidu tirgiem, jo īpaši darbaspēkam un finansēm. Uzņēmējdarbības atbalsta finansējuma apguve bieži vien ir krietni zemāka par vidējo rādītāju valstī. Nepietiekami attīstītā pieejamība/sasniedzamība tiek uzskatīta par izšķirošu šķērsli Austrumu pierobežas attīstībai. Austrumu pierobežas atrašanās vieta palielina izmaksas, kas padara uzņēmumus mazāk konkurētspējīgus salīdzinājumā ar tiem reģioniem, kas atrodas tuvāk lielākajiem transporta tīkliem. Reģionā nav pienācīgas lidostas, un lielākie transporta mezgli atrodas vairāk nekā 200 km attālumā.</w:t>
      </w:r>
      <w:r>
        <w:rPr>
          <w:rStyle w:val="20"/>
          <w:rFonts w:ascii="Times New Roman" w:hAnsi="Times New Roman" w:eastAsia="Times New Roman" w:cs="Times New Roman"/>
          <w:sz w:val="24"/>
          <w:szCs w:val="24"/>
        </w:rPr>
        <w:footnoteReference w:id="9"/>
      </w:r>
      <w:r>
        <w:rPr>
          <w:rFonts w:ascii="Times New Roman" w:hAnsi="Times New Roman" w:eastAsia="Times New Roman" w:cs="Times New Roman"/>
          <w:sz w:val="24"/>
          <w:szCs w:val="24"/>
        </w:rPr>
        <w:t xml:space="preserve"> Attiecīgi plānā tiek piedāvātas rīcības uzņēmējdarbības veicināšanai (piemēram, Latgales un Rēzeknes Speciālo ekonomisko zonu atbalsta pilnveidošana), mobilitātes uzlabošanai (piemēram, ceļu infrastruktūras pirms robežšķērsošanas vietām attīstība).</w:t>
      </w:r>
    </w:p>
    <w:p w14:paraId="12F5A0AB">
      <w:pPr>
        <w:spacing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margin">
                  <wp:posOffset>1136650</wp:posOffset>
                </wp:positionH>
                <wp:positionV relativeFrom="paragraph">
                  <wp:posOffset>5715</wp:posOffset>
                </wp:positionV>
                <wp:extent cx="4093845" cy="527685"/>
                <wp:effectExtent l="0" t="0" r="2540" b="6350"/>
                <wp:wrapNone/>
                <wp:docPr id="1217682808" name="Rectangle 1"/>
                <wp:cNvGraphicFramePr/>
                <a:graphic xmlns:a="http://schemas.openxmlformats.org/drawingml/2006/main">
                  <a:graphicData uri="http://schemas.microsoft.com/office/word/2010/wordprocessingShape">
                    <wps:wsp>
                      <wps:cNvSpPr/>
                      <wps:spPr>
                        <a:xfrm>
                          <a:off x="0" y="0"/>
                          <a:ext cx="4093698" cy="527538"/>
                        </a:xfrm>
                        <a:prstGeom prst="rect">
                          <a:avLst/>
                        </a:prstGeom>
                        <a:solidFill>
                          <a:srgbClr val="7C987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CF6655">
                            <w:pPr>
                              <w:spacing w:after="0" w:line="240" w:lineRule="auto"/>
                              <w:rPr>
                                <w:rFonts w:ascii="Verdana" w:hAnsi="Verdana" w:cs="Times New Roman"/>
                                <w:sz w:val="16"/>
                                <w:szCs w:val="16"/>
                              </w:rPr>
                            </w:pPr>
                            <w:r>
                              <w:rPr>
                                <w:rFonts w:ascii="Verdana" w:hAnsi="Verdana" w:cs="Times New Roman"/>
                                <w:b/>
                                <w:i/>
                                <w:sz w:val="16"/>
                                <w:szCs w:val="16"/>
                              </w:rPr>
                              <w:t>Transports un infrastruktūra</w:t>
                            </w:r>
                            <w:r>
                              <w:rPr>
                                <w:rFonts w:ascii="Verdana" w:hAnsi="Verdana" w:cs="Times New Roman"/>
                                <w:sz w:val="16"/>
                                <w:szCs w:val="16"/>
                              </w:rPr>
                              <w:t xml:space="preserve"> – Austrumu pierobežas atrašanās vieta palielina izmaksas, kas padara uzņēmumus mazāk konkurētspējīgus salīdzinājumā ar citiem reģioniem</w:t>
                            </w:r>
                          </w:p>
                        </w:txbxContent>
                      </wps:txbx>
                      <wps:bodyPr wrap="square" rtlCol="0" anchor="ctr">
                        <a:noAutofit/>
                      </wps:bodyPr>
                    </wps:wsp>
                  </a:graphicData>
                </a:graphic>
              </wp:anchor>
            </w:drawing>
          </mc:Choice>
          <mc:Fallback>
            <w:pict>
              <v:rect id="Rectangle 1" o:spid="_x0000_s1026" o:spt="1" style="position:absolute;left:0pt;margin-left:89.5pt;margin-top:0.45pt;height:41.55pt;width:322.35pt;mso-position-horizontal-relative:margin;z-index:251659264;v-text-anchor:middle;mso-width-relative:page;mso-height-relative:page;" fillcolor="#7C987C" filled="t" stroked="f" coordsize="21600,21600" o:gfxdata="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gG531gAAAAcBAAAPAAAAAAAAAAEAIAAAACIAAABkcnMvZG93&#10;bnJldi54bWxQSwECFAAUAAAACACHTuJAMZA9nAICAAAFBAAADgAAAAAAAAABACAAAAAlAQAAZHJz&#10;L2Uyb0RvYy54bWxQSwUGAAAAAAYABgBZAQAAmQUAAAAA&#10;">
                <v:fill on="t" focussize="0,0"/>
                <v:stroke on="f" weight="1pt" miterlimit="8" joinstyle="miter"/>
                <v:imagedata o:title=""/>
                <o:lock v:ext="edit" aspectratio="f"/>
                <v:textbox>
                  <w:txbxContent>
                    <w:p w14:paraId="46CF6655">
                      <w:pPr>
                        <w:spacing w:after="0" w:line="240" w:lineRule="auto"/>
                        <w:rPr>
                          <w:rFonts w:ascii="Verdana" w:hAnsi="Verdana" w:cs="Times New Roman"/>
                          <w:sz w:val="16"/>
                          <w:szCs w:val="16"/>
                        </w:rPr>
                      </w:pPr>
                      <w:r>
                        <w:rPr>
                          <w:rFonts w:ascii="Verdana" w:hAnsi="Verdana" w:cs="Times New Roman"/>
                          <w:b/>
                          <w:i/>
                          <w:sz w:val="16"/>
                          <w:szCs w:val="16"/>
                        </w:rPr>
                        <w:t>Transports un infrastruktūra</w:t>
                      </w:r>
                      <w:r>
                        <w:rPr>
                          <w:rFonts w:ascii="Verdana" w:hAnsi="Verdana" w:cs="Times New Roman"/>
                          <w:sz w:val="16"/>
                          <w:szCs w:val="16"/>
                        </w:rPr>
                        <w:t xml:space="preserve"> – Austrumu pierobežas atrašanās vieta palielina izmaksas, kas padara uzņēmumus mazāk konkurētspējīgus salīdzinājumā ar citiem reģioniem</w:t>
                      </w:r>
                    </w:p>
                  </w:txbxContent>
                </v:textbox>
              </v:rect>
            </w:pict>
          </mc:Fallback>
        </mc:AlternateContent>
      </w:r>
    </w:p>
    <w:p w14:paraId="41F50AE9">
      <w:pPr>
        <w:spacing w:after="120" w:line="240" w:lineRule="auto"/>
        <w:jc w:val="both"/>
        <w:rPr>
          <w:rFonts w:ascii="Times New Roman" w:hAnsi="Times New Roman" w:eastAsia="Times New Roman" w:cs="Times New Roman"/>
          <w:sz w:val="24"/>
          <w:szCs w:val="24"/>
        </w:rPr>
      </w:pPr>
    </w:p>
    <w:p w14:paraId="46023BD6">
      <w:pPr>
        <w:spacing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margin">
                  <wp:posOffset>1129665</wp:posOffset>
                </wp:positionH>
                <wp:positionV relativeFrom="paragraph">
                  <wp:posOffset>65405</wp:posOffset>
                </wp:positionV>
                <wp:extent cx="4093845" cy="422275"/>
                <wp:effectExtent l="0" t="0" r="2540" b="0"/>
                <wp:wrapNone/>
                <wp:docPr id="3" name="Rectangle 2"/>
                <wp:cNvGraphicFramePr/>
                <a:graphic xmlns:a="http://schemas.openxmlformats.org/drawingml/2006/main">
                  <a:graphicData uri="http://schemas.microsoft.com/office/word/2010/wordprocessingShape">
                    <wps:wsp>
                      <wps:cNvSpPr/>
                      <wps:spPr>
                        <a:xfrm>
                          <a:off x="0" y="0"/>
                          <a:ext cx="4093698" cy="422031"/>
                        </a:xfrm>
                        <a:prstGeom prst="rect">
                          <a:avLst/>
                        </a:prstGeom>
                        <a:solidFill>
                          <a:srgbClr val="7C987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555C11">
                            <w:pPr>
                              <w:spacing w:after="0" w:line="240" w:lineRule="auto"/>
                              <w:rPr>
                                <w:rFonts w:ascii="Verdana" w:hAnsi="Verdana" w:cs="Times New Roman"/>
                                <w:sz w:val="16"/>
                                <w:szCs w:val="16"/>
                              </w:rPr>
                            </w:pPr>
                            <w:r>
                              <w:rPr>
                                <w:rFonts w:ascii="Verdana" w:hAnsi="Verdana" w:cs="Times New Roman"/>
                                <w:b/>
                                <w:i/>
                                <w:sz w:val="16"/>
                                <w:szCs w:val="16"/>
                              </w:rPr>
                              <w:t>Ekonomiskie aspekti</w:t>
                            </w:r>
                            <w:r>
                              <w:rPr>
                                <w:rFonts w:ascii="Verdana" w:hAnsi="Verdana" w:cs="Times New Roman"/>
                                <w:sz w:val="16"/>
                                <w:szCs w:val="16"/>
                              </w:rPr>
                              <w:t xml:space="preserve"> – robeža izjauc ekonomisko telpu un slēdz tirgus tās otrā pusē </w:t>
                            </w:r>
                          </w:p>
                        </w:txbxContent>
                      </wps:txbx>
                      <wps:bodyPr wrap="square" rtlCol="0" anchor="ctr">
                        <a:noAutofit/>
                      </wps:bodyPr>
                    </wps:wsp>
                  </a:graphicData>
                </a:graphic>
              </wp:anchor>
            </w:drawing>
          </mc:Choice>
          <mc:Fallback>
            <w:pict>
              <v:rect id="Rectangle 2" o:spid="_x0000_s1026" o:spt="1" style="position:absolute;left:0pt;margin-left:88.95pt;margin-top:5.15pt;height:33.25pt;width:322.35pt;mso-position-horizontal-relative:margin;z-index:251659264;v-text-anchor:middle;mso-width-relative:page;mso-height-relative:page;" fillcolor="#7C987C" filled="t" stroked="f" coordsize="21600,21600" o:gfxdata="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Lr+xB1wAAAAkBAAAPAAAAAAAAAAEAIAAAACIAAABkcnMvZG93bnJldi54&#10;bWxQSwECFAAUAAAACACHTuJAW0HNg/sBAAD8AwAADgAAAAAAAAABACAAAAAmAQAAZHJzL2Uyb0Rv&#10;Yy54bWxQSwUGAAAAAAYABgBZAQAAkwUAAAAA&#10;">
                <v:fill on="t" focussize="0,0"/>
                <v:stroke on="f" weight="1pt" miterlimit="8" joinstyle="miter"/>
                <v:imagedata o:title=""/>
                <o:lock v:ext="edit" aspectratio="f"/>
                <v:textbox>
                  <w:txbxContent>
                    <w:p w14:paraId="13555C11">
                      <w:pPr>
                        <w:spacing w:after="0" w:line="240" w:lineRule="auto"/>
                        <w:rPr>
                          <w:rFonts w:ascii="Verdana" w:hAnsi="Verdana" w:cs="Times New Roman"/>
                          <w:sz w:val="16"/>
                          <w:szCs w:val="16"/>
                        </w:rPr>
                      </w:pPr>
                      <w:r>
                        <w:rPr>
                          <w:rFonts w:ascii="Verdana" w:hAnsi="Verdana" w:cs="Times New Roman"/>
                          <w:b/>
                          <w:i/>
                          <w:sz w:val="16"/>
                          <w:szCs w:val="16"/>
                        </w:rPr>
                        <w:t>Ekonomiskie aspekti</w:t>
                      </w:r>
                      <w:r>
                        <w:rPr>
                          <w:rFonts w:ascii="Verdana" w:hAnsi="Verdana" w:cs="Times New Roman"/>
                          <w:sz w:val="16"/>
                          <w:szCs w:val="16"/>
                        </w:rPr>
                        <w:t xml:space="preserve"> – robeža izjauc ekonomisko telpu un slēdz tirgus tās otrā pusē </w:t>
                      </w:r>
                    </w:p>
                  </w:txbxContent>
                </v:textbox>
              </v:rect>
            </w:pict>
          </mc:Fallback>
        </mc:AlternateContent>
      </w:r>
    </w:p>
    <w:p w14:paraId="3B21E54F">
      <w:pPr>
        <w:spacing w:after="120" w:line="240" w:lineRule="auto"/>
        <w:jc w:val="both"/>
        <w:rPr>
          <w:rFonts w:ascii="Times New Roman" w:hAnsi="Times New Roman" w:eastAsia="Times New Roman" w:cs="Times New Roman"/>
          <w:sz w:val="24"/>
          <w:szCs w:val="24"/>
        </w:rPr>
      </w:pPr>
    </w:p>
    <w:p w14:paraId="017570C4">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 xml:space="preserve">2.attēls. Izaicinājumi Austrumu pierobežā pirms </w:t>
      </w:r>
      <w:r>
        <w:rPr>
          <w:rFonts w:ascii="Times New Roman" w:hAnsi="Times New Roman" w:cs="Times New Roman"/>
          <w:sz w:val="20"/>
          <w:szCs w:val="20"/>
        </w:rPr>
        <w:t>Krievijas pilna apmēra agresijas kara pret Ukrainu uzsākšanās.</w:t>
      </w:r>
    </w:p>
    <w:p w14:paraId="5C9C0F3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No pētījumiem, kas veikti pēc Krievijas pilna apmēra agresijas kara pret Ukrainu uzsākšanās, izriet - iepriekšminētie aspekti kavēja Austrumu pierobežas attīstību miera laikos, kad arī šīs teritorijas saskarās ar tādiem nozīmīgiem izaicinājumiem kā depopulācija un zema ekonomiskā aktivitāte, taču ģeopolitiskā situācija ir būtiski mainījusies līdz ar Krievijas pilna apmēra agresijas karu pret Ukrainu. </w:t>
      </w:r>
    </w:p>
    <w:p w14:paraId="6A17ECAB">
      <w:pPr>
        <w:spacing w:after="120" w:line="240" w:lineRule="auto"/>
        <w:jc w:val="both"/>
        <w:rPr>
          <w:rFonts w:ascii="Times New Roman" w:hAnsi="Times New Roman" w:cs="Times New Roman"/>
          <w:sz w:val="24"/>
          <w:szCs w:val="24"/>
        </w:rPr>
      </w:pPr>
    </w:p>
    <w:p w14:paraId="3B678A89">
      <w:pPr>
        <w:spacing w:after="120" w:line="240" w:lineRule="auto"/>
        <w:jc w:val="both"/>
        <w:rPr>
          <w:rFonts w:ascii="Times New Roman" w:hAnsi="Times New Roman" w:cs="Times New Roman"/>
          <w:sz w:val="24"/>
          <w:szCs w:val="24"/>
        </w:rPr>
      </w:pPr>
    </w:p>
    <w:p w14:paraId="74E65434">
      <w:pPr>
        <w:spacing w:after="120" w:line="240" w:lineRule="auto"/>
        <w:jc w:val="both"/>
        <w:rPr>
          <w:rFonts w:ascii="Times New Roman" w:hAnsi="Times New Roman" w:cs="Times New Roman"/>
          <w:sz w:val="24"/>
          <w:szCs w:val="24"/>
        </w:rPr>
      </w:pPr>
    </w:p>
    <w:p w14:paraId="08AD5CB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g">
            <w:drawing>
              <wp:anchor distT="0" distB="0" distL="114300" distR="114300" simplePos="0" relativeHeight="251659264" behindDoc="0" locked="0" layoutInCell="1" allowOverlap="1">
                <wp:simplePos x="0" y="0"/>
                <wp:positionH relativeFrom="margin">
                  <wp:posOffset>438150</wp:posOffset>
                </wp:positionH>
                <wp:positionV relativeFrom="paragraph">
                  <wp:posOffset>-206375</wp:posOffset>
                </wp:positionV>
                <wp:extent cx="5410200" cy="2703830"/>
                <wp:effectExtent l="0" t="0" r="0" b="1270"/>
                <wp:wrapNone/>
                <wp:docPr id="16" name="Group 15"/>
                <wp:cNvGraphicFramePr/>
                <a:graphic xmlns:a="http://schemas.openxmlformats.org/drawingml/2006/main">
                  <a:graphicData uri="http://schemas.microsoft.com/office/word/2010/wordprocessingGroup">
                    <wpg:wgp>
                      <wpg:cNvGrpSpPr/>
                      <wpg:grpSpPr>
                        <a:xfrm>
                          <a:off x="0" y="0"/>
                          <a:ext cx="5410200" cy="2703830"/>
                          <a:chOff x="0" y="0"/>
                          <a:chExt cx="5748092" cy="3103917"/>
                        </a:xfrm>
                      </wpg:grpSpPr>
                      <wps:wsp>
                        <wps:cNvPr id="1301672503" name="Rectangle 1301672503"/>
                        <wps:cNvSpPr/>
                        <wps:spPr>
                          <a:xfrm>
                            <a:off x="0" y="1944224"/>
                            <a:ext cx="5739162" cy="575879"/>
                          </a:xfrm>
                          <a:prstGeom prst="rect">
                            <a:avLst/>
                          </a:prstGeom>
                          <a:solidFill>
                            <a:srgbClr val="36523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95BB97">
                              <w:pPr>
                                <w:rPr>
                                  <w:rFonts w:ascii="Verdana" w:hAnsi="Verdana" w:eastAsia="Verdana" w:cs="Times New Roman"/>
                                  <w:color w:val="FFFFFF" w:themeColor="background1"/>
                                  <w:kern w:val="24"/>
                                  <w:sz w:val="16"/>
                                  <w:szCs w:val="16"/>
                                  <w14:textFill>
                                    <w14:solidFill>
                                      <w14:schemeClr w14:val="bg1"/>
                                    </w14:solidFill>
                                  </w14:textFill>
                                  <w14:ligatures w14:val="none"/>
                                </w:rPr>
                              </w:pPr>
                              <w:r>
                                <w:rPr>
                                  <w:rFonts w:ascii="Verdana" w:hAnsi="Verdana" w:eastAsia="Verdana" w:cs="Times New Roman"/>
                                  <w:b/>
                                  <w:bCs/>
                                  <w:i/>
                                  <w:iCs/>
                                  <w:color w:val="FFFFFF" w:themeColor="background1"/>
                                  <w:kern w:val="24"/>
                                  <w:sz w:val="16"/>
                                  <w:szCs w:val="16"/>
                                  <w14:textFill>
                                    <w14:solidFill>
                                      <w14:schemeClr w14:val="bg1"/>
                                    </w14:solidFill>
                                  </w14:textFill>
                                </w:rPr>
                                <w:t>Energoapgāde</w:t>
                              </w:r>
                              <w:r>
                                <w:rPr>
                                  <w:rFonts w:ascii="Verdana" w:hAnsi="Verdana" w:eastAsia="Verdana" w:cs="Times New Roman"/>
                                  <w:color w:val="FFFFFF" w:themeColor="background1"/>
                                  <w:kern w:val="24"/>
                                  <w:sz w:val="16"/>
                                  <w:szCs w:val="16"/>
                                  <w14:textFill>
                                    <w14:solidFill>
                                      <w14:schemeClr w14:val="bg1"/>
                                    </w14:solidFill>
                                  </w14:textFill>
                                </w:rPr>
                                <w:t xml:space="preserve"> – Krievijas agresija pret Ukrainu izraisījusi degvielas cenu pieaugumu ES, kā arī Krievijas agresija pret Ukrainu rada bažas par energoapgādes drošību un energoresursu pieejamību</w:t>
                              </w:r>
                            </w:p>
                          </w:txbxContent>
                        </wps:txbx>
                        <wps:bodyPr lIns="91440" tIns="45720" rIns="91440" bIns="45720" rtlCol="0" anchor="ctr"/>
                      </wps:wsp>
                      <wps:wsp>
                        <wps:cNvPr id="1323999333" name="Rectangle 1323999333"/>
                        <wps:cNvSpPr/>
                        <wps:spPr>
                          <a:xfrm>
                            <a:off x="6691" y="2558235"/>
                            <a:ext cx="5720253" cy="545682"/>
                          </a:xfrm>
                          <a:prstGeom prst="rect">
                            <a:avLst/>
                          </a:prstGeom>
                          <a:solidFill>
                            <a:srgbClr val="36523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4A6F2B">
                              <w:pPr>
                                <w:rPr>
                                  <w:rFonts w:ascii="Verdana" w:hAnsi="Verdana" w:eastAsia="Verdana" w:cs="Times New Roman"/>
                                  <w:b/>
                                  <w:bCs/>
                                  <w:i/>
                                  <w:iCs/>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14:ligatures w14:val="none"/>
                                </w:rPr>
                              </w:pPr>
                              <w:r>
                                <w:rPr>
                                  <w:rFonts w:ascii="Verdana" w:hAnsi="Verdana" w:eastAsia="Verdana" w:cs="Times New Roman"/>
                                  <w:b/>
                                  <w:bCs/>
                                  <w:i/>
                                  <w:iCs/>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 xml:space="preserve">Bēgļu krīze </w:t>
                              </w:r>
                              <w:r>
                                <w:rPr>
                                  <w:rFonts w:ascii="Verdana" w:hAnsi="Verdana" w:eastAsia="Verdana" w:cs="Times New Roman"/>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 karš izraisījis ievērojamas Ukrainas civiliedzīvotāju kustības, daudziem cilvēkiem meklējot patvērumu kaimiņos esošajās ES valstīs</w:t>
                              </w:r>
                            </w:p>
                          </w:txbxContent>
                        </wps:txbx>
                        <wps:bodyPr rtlCol="0" anchor="ctr"/>
                      </wps:wsp>
                      <wps:wsp>
                        <wps:cNvPr id="921126134" name="Rectangle 921126134"/>
                        <wps:cNvSpPr/>
                        <wps:spPr>
                          <a:xfrm>
                            <a:off x="2528" y="0"/>
                            <a:ext cx="5739170" cy="627088"/>
                          </a:xfrm>
                          <a:prstGeom prst="rect">
                            <a:avLst/>
                          </a:prstGeom>
                          <a:solidFill>
                            <a:srgbClr val="36523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9779E6">
                              <w:pPr>
                                <w:rPr>
                                  <w:rFonts w:ascii="Verdana" w:hAnsi="Verdana" w:eastAsia="Verdana" w:cs="Times New Roman"/>
                                  <w:b/>
                                  <w:bCs/>
                                  <w:i/>
                                  <w:iCs/>
                                  <w:color w:val="FFFFFF" w:themeColor="background1"/>
                                  <w:kern w:val="24"/>
                                  <w:sz w:val="16"/>
                                  <w:szCs w:val="16"/>
                                  <w14:textFill>
                                    <w14:solidFill>
                                      <w14:schemeClr w14:val="bg1"/>
                                    </w14:solidFill>
                                  </w14:textFill>
                                  <w14:ligatures w14:val="none"/>
                                </w:rPr>
                              </w:pPr>
                              <w:r>
                                <w:rPr>
                                  <w:rFonts w:ascii="Verdana" w:hAnsi="Verdana" w:eastAsia="Verdana" w:cs="Times New Roman"/>
                                  <w:b/>
                                  <w:bCs/>
                                  <w:i/>
                                  <w:iCs/>
                                  <w:color w:val="FFFFFF" w:themeColor="background1"/>
                                  <w:kern w:val="24"/>
                                  <w:sz w:val="16"/>
                                  <w:szCs w:val="16"/>
                                  <w14:textFill>
                                    <w14:solidFill>
                                      <w14:schemeClr w14:val="bg1"/>
                                    </w14:solidFill>
                                  </w14:textFill>
                                </w:rPr>
                                <w:t xml:space="preserve">Drošības aspekti </w:t>
                              </w:r>
                              <w:r>
                                <w:rPr>
                                  <w:rFonts w:ascii="Verdana" w:hAnsi="Verdana" w:eastAsia="Verdana" w:cs="Times New Roman"/>
                                  <w:b/>
                                  <w:bCs/>
                                  <w:color w:val="FFFFFF" w:themeColor="background1"/>
                                  <w:kern w:val="24"/>
                                  <w:sz w:val="16"/>
                                  <w:szCs w:val="16"/>
                                  <w14:textFill>
                                    <w14:solidFill>
                                      <w14:schemeClr w14:val="bg1"/>
                                    </w14:solidFill>
                                  </w14:textFill>
                                </w:rPr>
                                <w:t xml:space="preserve">– </w:t>
                              </w:r>
                              <w:r>
                                <w:rPr>
                                  <w:rFonts w:ascii="Verdana" w:hAnsi="Verdana" w:eastAsia="Verdana" w:cs="Times New Roman"/>
                                  <w:color w:val="FFFFFF" w:themeColor="background1"/>
                                  <w:kern w:val="24"/>
                                  <w:sz w:val="16"/>
                                  <w:szCs w:val="16"/>
                                  <w14:textFill>
                                    <w14:solidFill>
                                      <w14:schemeClr w14:val="bg1"/>
                                    </w14:solidFill>
                                  </w14:textFill>
                                </w:rPr>
                                <w:t>pēc kara sākuma ir pieaugušas bažas par robežu drošību, nelegālo migrāciju un iespējamu konflikta izplatīšanos. Esošā ģeopolitiskā situācija aktualizē jautājumus par kritiskās infrastruktūras darbības nepārtrauktības nodrošināšanu.</w:t>
                              </w:r>
                              <w:r>
                                <w:rPr>
                                  <w:rFonts w:ascii="Verdana" w:hAnsi="Verdana" w:eastAsia="Verdana" w:cs="Times New Roman"/>
                                  <w:b/>
                                  <w:bCs/>
                                  <w:i/>
                                  <w:iCs/>
                                  <w:color w:val="FFFFFF" w:themeColor="background1"/>
                                  <w:kern w:val="24"/>
                                  <w:sz w:val="16"/>
                                  <w:szCs w:val="16"/>
                                  <w14:textFill>
                                    <w14:solidFill>
                                      <w14:schemeClr w14:val="bg1"/>
                                    </w14:solidFill>
                                  </w14:textFill>
                                </w:rPr>
                                <w:t xml:space="preserve"> </w:t>
                              </w:r>
                            </w:p>
                          </w:txbxContent>
                        </wps:txbx>
                        <wps:bodyPr lIns="91440" tIns="45720" rIns="91440" bIns="45720" rtlCol="0" anchor="ctr"/>
                      </wps:wsp>
                      <wps:wsp>
                        <wps:cNvPr id="210118057" name="Rectangle 210118057"/>
                        <wps:cNvSpPr/>
                        <wps:spPr>
                          <a:xfrm>
                            <a:off x="0" y="690048"/>
                            <a:ext cx="5739162" cy="575879"/>
                          </a:xfrm>
                          <a:prstGeom prst="rect">
                            <a:avLst/>
                          </a:prstGeom>
                          <a:solidFill>
                            <a:srgbClr val="36523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C25A6">
                              <w:pPr>
                                <w:rPr>
                                  <w:rFonts w:ascii="Verdana" w:hAnsi="Verdana" w:eastAsia="Verdana" w:cs="Times New Roman"/>
                                  <w:b/>
                                  <w:bCs/>
                                  <w:i/>
                                  <w:iCs/>
                                  <w:color w:val="FFFFFF" w:themeColor="background1"/>
                                  <w:kern w:val="24"/>
                                  <w:sz w:val="16"/>
                                  <w:szCs w:val="16"/>
                                  <w14:textFill>
                                    <w14:solidFill>
                                      <w14:schemeClr w14:val="bg1"/>
                                    </w14:solidFill>
                                  </w14:textFill>
                                  <w14:ligatures w14:val="none"/>
                                </w:rPr>
                              </w:pPr>
                              <w:r>
                                <w:rPr>
                                  <w:rFonts w:ascii="Verdana" w:hAnsi="Verdana" w:eastAsia="Verdana" w:cs="Times New Roman"/>
                                  <w:b/>
                                  <w:bCs/>
                                  <w:i/>
                                  <w:iCs/>
                                  <w:color w:val="FFFFFF" w:themeColor="background1"/>
                                  <w:kern w:val="24"/>
                                  <w:sz w:val="16"/>
                                  <w:szCs w:val="16"/>
                                  <w14:textFill>
                                    <w14:solidFill>
                                      <w14:schemeClr w14:val="bg1"/>
                                    </w14:solidFill>
                                  </w14:textFill>
                                </w:rPr>
                                <w:t>Transports un infrastruktūra</w:t>
                              </w:r>
                              <w:r>
                                <w:rPr>
                                  <w:rFonts w:ascii="Verdana" w:hAnsi="Verdana" w:eastAsia="Verdana" w:cs="Times New Roman"/>
                                  <w:b/>
                                  <w:bCs/>
                                  <w:color w:val="FFFFFF" w:themeColor="background1"/>
                                  <w:kern w:val="24"/>
                                  <w:sz w:val="16"/>
                                  <w:szCs w:val="16"/>
                                  <w14:textFill>
                                    <w14:solidFill>
                                      <w14:schemeClr w14:val="bg1"/>
                                    </w14:solidFill>
                                  </w14:textFill>
                                </w:rPr>
                                <w:t xml:space="preserve"> </w:t>
                              </w:r>
                              <w:r>
                                <w:rPr>
                                  <w:rFonts w:ascii="Verdana" w:hAnsi="Verdana" w:eastAsia="Verdana" w:cs="Times New Roman"/>
                                  <w:color w:val="FFFFFF" w:themeColor="background1"/>
                                  <w:kern w:val="24"/>
                                  <w:sz w:val="16"/>
                                  <w:szCs w:val="16"/>
                                  <w14:textFill>
                                    <w14:solidFill>
                                      <w14:schemeClr w14:val="bg1"/>
                                    </w14:solidFill>
                                  </w14:textFill>
                                </w:rPr>
                                <w:t>– karš ir izjaucis galvenos transporta ceļus, ietekmējot preču un cilvēku plūsmu visā Austrumeiropā, tirdzniecību un tūrismu, kā arī apgrūtinājis saimniecisko darbību un tirdzniecību</w:t>
                              </w:r>
                            </w:p>
                          </w:txbxContent>
                        </wps:txbx>
                        <wps:bodyPr rtlCol="0" anchor="ctr"/>
                      </wps:wsp>
                      <wps:wsp>
                        <wps:cNvPr id="877371617" name="Rectangle 877371617"/>
                        <wps:cNvSpPr/>
                        <wps:spPr>
                          <a:xfrm>
                            <a:off x="8930" y="1317136"/>
                            <a:ext cx="5739162" cy="575879"/>
                          </a:xfrm>
                          <a:prstGeom prst="rect">
                            <a:avLst/>
                          </a:prstGeom>
                          <a:solidFill>
                            <a:srgbClr val="36523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AD3AE0">
                              <w:pPr>
                                <w:rPr>
                                  <w:rFonts w:ascii="Verdana" w:hAnsi="Verdana" w:eastAsia="Verdana" w:cs="Times New Roman"/>
                                  <w:b/>
                                  <w:bCs/>
                                  <w:i/>
                                  <w:iCs/>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14:ligatures w14:val="none"/>
                                </w:rPr>
                              </w:pPr>
                              <w:r>
                                <w:rPr>
                                  <w:rFonts w:ascii="Verdana" w:hAnsi="Verdana" w:eastAsia="Verdana" w:cs="Times New Roman"/>
                                  <w:b/>
                                  <w:bCs/>
                                  <w:i/>
                                  <w:iCs/>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 xml:space="preserve">Ekonomiskie aspekti </w:t>
                              </w:r>
                              <w:r>
                                <w:rPr>
                                  <w:rFonts w:ascii="Verdana" w:hAnsi="Verdana" w:eastAsia="Verdana" w:cs="Times New Roman"/>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 karš īpaši ir skāris tās valstis, kurām pirms kara sākuma bija spēcīgas ekonomiskās saites ar Krieviju vai Baltkrieviju</w:t>
                              </w:r>
                            </w:p>
                          </w:txbxContent>
                        </wps:txbx>
                        <wps:bodyPr rtlCol="0" anchor="ctr"/>
                      </wps:wsp>
                    </wpg:wgp>
                  </a:graphicData>
                </a:graphic>
              </wp:anchor>
            </w:drawing>
          </mc:Choice>
          <mc:Fallback>
            <w:pict>
              <v:group id="Group 15" o:spid="_x0000_s1026" o:spt="203" style="position:absolute;left:0pt;margin-left:34.5pt;margin-top:-16.25pt;height:212.9pt;width:426pt;mso-position-horizontal-relative:margin;z-index:251659264;mso-width-relative:page;mso-height-relative:page;" coordsize="5748092,3103917" o:gfxdata="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IsNJjbAAAACgEAAA8AAAAAAAAAAQAg&#10;AAAAIgAAAGRycy9kb3ducmV2LnhtbFBLAQIUABQAAAAIAIdO4kAtwGd5KAMAALoNAAAOAAAAAAAA&#10;AAEAIAAAACoBAABkcnMvZTJvRG9jLnhtbFBLBQYAAAAABgAGAFkBAADEBgAAAAA=&#10;">
                <o:lock v:ext="edit" aspectratio="f"/>
                <v:rect id="Rectangle 1301672503" o:spid="_x0000_s1026" o:spt="1" style="position:absolute;left:0;top:1944224;height:575879;width:5739162;v-text-anchor:middle;" fillcolor="#365236" filled="t" stroked="f" coordsize="21600,21600" o:gfxdata="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POu/&#10;AAAA4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14:paraId="5095BB97">
                        <w:pPr>
                          <w:rPr>
                            <w:rFonts w:ascii="Verdana" w:hAnsi="Verdana" w:eastAsia="Verdana" w:cs="Times New Roman"/>
                            <w:color w:val="FFFFFF" w:themeColor="background1"/>
                            <w:kern w:val="24"/>
                            <w:sz w:val="16"/>
                            <w:szCs w:val="16"/>
                            <w14:textFill>
                              <w14:solidFill>
                                <w14:schemeClr w14:val="bg1"/>
                              </w14:solidFill>
                            </w14:textFill>
                            <w14:ligatures w14:val="none"/>
                          </w:rPr>
                        </w:pPr>
                        <w:r>
                          <w:rPr>
                            <w:rFonts w:ascii="Verdana" w:hAnsi="Verdana" w:eastAsia="Verdana" w:cs="Times New Roman"/>
                            <w:b/>
                            <w:bCs/>
                            <w:i/>
                            <w:iCs/>
                            <w:color w:val="FFFFFF" w:themeColor="background1"/>
                            <w:kern w:val="24"/>
                            <w:sz w:val="16"/>
                            <w:szCs w:val="16"/>
                            <w14:textFill>
                              <w14:solidFill>
                                <w14:schemeClr w14:val="bg1"/>
                              </w14:solidFill>
                            </w14:textFill>
                          </w:rPr>
                          <w:t>Energoapgāde</w:t>
                        </w:r>
                        <w:r>
                          <w:rPr>
                            <w:rFonts w:ascii="Verdana" w:hAnsi="Verdana" w:eastAsia="Verdana" w:cs="Times New Roman"/>
                            <w:color w:val="FFFFFF" w:themeColor="background1"/>
                            <w:kern w:val="24"/>
                            <w:sz w:val="16"/>
                            <w:szCs w:val="16"/>
                            <w14:textFill>
                              <w14:solidFill>
                                <w14:schemeClr w14:val="bg1"/>
                              </w14:solidFill>
                            </w14:textFill>
                          </w:rPr>
                          <w:t xml:space="preserve"> – Krievijas agresija pret Ukrainu izraisījusi degvielas cenu pieaugumu ES, kā arī Krievijas agresija pret Ukrainu rada bažas par energoapgādes drošību un energoresursu pieejamību</w:t>
                        </w:r>
                      </w:p>
                    </w:txbxContent>
                  </v:textbox>
                </v:rect>
                <v:rect id="Rectangle 1323999333" o:spid="_x0000_s1026" o:spt="1" style="position:absolute;left:6691;top:2558235;height:545682;width:5720253;v-text-anchor:middle;" fillcolor="#365236" filled="t" stroked="f" coordsize="21600,21600" o:gfxdata="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woOe/&#10;AAAA4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14:paraId="1B4A6F2B">
                        <w:pPr>
                          <w:rPr>
                            <w:rFonts w:ascii="Verdana" w:hAnsi="Verdana" w:eastAsia="Verdana" w:cs="Times New Roman"/>
                            <w:b/>
                            <w:bCs/>
                            <w:i/>
                            <w:iCs/>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14:ligatures w14:val="none"/>
                          </w:rPr>
                        </w:pPr>
                        <w:r>
                          <w:rPr>
                            <w:rFonts w:ascii="Verdana" w:hAnsi="Verdana" w:eastAsia="Verdana" w:cs="Times New Roman"/>
                            <w:b/>
                            <w:bCs/>
                            <w:i/>
                            <w:iCs/>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 xml:space="preserve">Bēgļu krīze </w:t>
                        </w:r>
                        <w:r>
                          <w:rPr>
                            <w:rFonts w:ascii="Verdana" w:hAnsi="Verdana" w:eastAsia="Verdana" w:cs="Times New Roman"/>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 karš izraisījis ievērojamas Ukrainas civiliedzīvotāju kustības, daudziem cilvēkiem meklējot patvērumu kaimiņos esošajās ES valstīs</w:t>
                        </w:r>
                      </w:p>
                    </w:txbxContent>
                  </v:textbox>
                </v:rect>
                <v:rect id="Rectangle 921126134" o:spid="_x0000_s1026" o:spt="1" style="position:absolute;left:2528;top:0;height:627088;width:5739170;v-text-anchor:middle;" fillcolor="#365236" filled="t" stroked="f" coordsize="21600,21600" o:gfxdata="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0FC&#10;j8EAAADiAAAADwAAAAAAAAABACAAAAAiAAAAZHJzL2Rvd25yZXYueG1sUEsBAhQAFAAAAAgAh07i&#10;QDMvBZ47AAAAOQAAABAAAAAAAAAAAQAgAAAAEAEAAGRycy9zaGFwZXhtbC54bWxQSwUGAAAAAAYA&#10;BgBbAQAAugMAAAAA&#10;">
                  <v:fill on="t" focussize="0,0"/>
                  <v:stroke on="f" weight="1pt" miterlimit="8" joinstyle="miter"/>
                  <v:imagedata o:title=""/>
                  <o:lock v:ext="edit" aspectratio="f"/>
                  <v:textbox>
                    <w:txbxContent>
                      <w:p w14:paraId="119779E6">
                        <w:pPr>
                          <w:rPr>
                            <w:rFonts w:ascii="Verdana" w:hAnsi="Verdana" w:eastAsia="Verdana" w:cs="Times New Roman"/>
                            <w:b/>
                            <w:bCs/>
                            <w:i/>
                            <w:iCs/>
                            <w:color w:val="FFFFFF" w:themeColor="background1"/>
                            <w:kern w:val="24"/>
                            <w:sz w:val="16"/>
                            <w:szCs w:val="16"/>
                            <w14:textFill>
                              <w14:solidFill>
                                <w14:schemeClr w14:val="bg1"/>
                              </w14:solidFill>
                            </w14:textFill>
                            <w14:ligatures w14:val="none"/>
                          </w:rPr>
                        </w:pPr>
                        <w:r>
                          <w:rPr>
                            <w:rFonts w:ascii="Verdana" w:hAnsi="Verdana" w:eastAsia="Verdana" w:cs="Times New Roman"/>
                            <w:b/>
                            <w:bCs/>
                            <w:i/>
                            <w:iCs/>
                            <w:color w:val="FFFFFF" w:themeColor="background1"/>
                            <w:kern w:val="24"/>
                            <w:sz w:val="16"/>
                            <w:szCs w:val="16"/>
                            <w14:textFill>
                              <w14:solidFill>
                                <w14:schemeClr w14:val="bg1"/>
                              </w14:solidFill>
                            </w14:textFill>
                          </w:rPr>
                          <w:t xml:space="preserve">Drošības aspekti </w:t>
                        </w:r>
                        <w:r>
                          <w:rPr>
                            <w:rFonts w:ascii="Verdana" w:hAnsi="Verdana" w:eastAsia="Verdana" w:cs="Times New Roman"/>
                            <w:b/>
                            <w:bCs/>
                            <w:color w:val="FFFFFF" w:themeColor="background1"/>
                            <w:kern w:val="24"/>
                            <w:sz w:val="16"/>
                            <w:szCs w:val="16"/>
                            <w14:textFill>
                              <w14:solidFill>
                                <w14:schemeClr w14:val="bg1"/>
                              </w14:solidFill>
                            </w14:textFill>
                          </w:rPr>
                          <w:t xml:space="preserve">– </w:t>
                        </w:r>
                        <w:r>
                          <w:rPr>
                            <w:rFonts w:ascii="Verdana" w:hAnsi="Verdana" w:eastAsia="Verdana" w:cs="Times New Roman"/>
                            <w:color w:val="FFFFFF" w:themeColor="background1"/>
                            <w:kern w:val="24"/>
                            <w:sz w:val="16"/>
                            <w:szCs w:val="16"/>
                            <w14:textFill>
                              <w14:solidFill>
                                <w14:schemeClr w14:val="bg1"/>
                              </w14:solidFill>
                            </w14:textFill>
                          </w:rPr>
                          <w:t>pēc kara sākuma ir pieaugušas bažas par robežu drošību, nelegālo migrāciju un iespējamu konflikta izplatīšanos. Esošā ģeopolitiskā situācija aktualizē jautājumus par kritiskās infrastruktūras darbības nepārtrauktības nodrošināšanu.</w:t>
                        </w:r>
                        <w:r>
                          <w:rPr>
                            <w:rFonts w:ascii="Verdana" w:hAnsi="Verdana" w:eastAsia="Verdana" w:cs="Times New Roman"/>
                            <w:b/>
                            <w:bCs/>
                            <w:i/>
                            <w:iCs/>
                            <w:color w:val="FFFFFF" w:themeColor="background1"/>
                            <w:kern w:val="24"/>
                            <w:sz w:val="16"/>
                            <w:szCs w:val="16"/>
                            <w14:textFill>
                              <w14:solidFill>
                                <w14:schemeClr w14:val="bg1"/>
                              </w14:solidFill>
                            </w14:textFill>
                          </w:rPr>
                          <w:t xml:space="preserve"> </w:t>
                        </w:r>
                      </w:p>
                    </w:txbxContent>
                  </v:textbox>
                </v:rect>
                <v:rect id="Rectangle 210118057" o:spid="_x0000_s1026" o:spt="1" style="position:absolute;left:0;top:690048;height:575879;width:5739162;v-text-anchor:middle;" fillcolor="#365236" filled="t" stroked="f" coordsize="21600,21600" o:gfxdata="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6r7&#10;f8EAAADiAAAADwAAAAAAAAABACAAAAAiAAAAZHJzL2Rvd25yZXYueG1sUEsBAhQAFAAAAAgAh07i&#10;QDMvBZ47AAAAOQAAABAAAAAAAAAAAQAgAAAAEAEAAGRycy9zaGFwZXhtbC54bWxQSwUGAAAAAAYA&#10;BgBbAQAAugMAAAAA&#10;">
                  <v:fill on="t" focussize="0,0"/>
                  <v:stroke on="f" weight="1pt" miterlimit="8" joinstyle="miter"/>
                  <v:imagedata o:title=""/>
                  <o:lock v:ext="edit" aspectratio="f"/>
                  <v:textbox>
                    <w:txbxContent>
                      <w:p w14:paraId="7B2C25A6">
                        <w:pPr>
                          <w:rPr>
                            <w:rFonts w:ascii="Verdana" w:hAnsi="Verdana" w:eastAsia="Verdana" w:cs="Times New Roman"/>
                            <w:b/>
                            <w:bCs/>
                            <w:i/>
                            <w:iCs/>
                            <w:color w:val="FFFFFF" w:themeColor="background1"/>
                            <w:kern w:val="24"/>
                            <w:sz w:val="16"/>
                            <w:szCs w:val="16"/>
                            <w14:textFill>
                              <w14:solidFill>
                                <w14:schemeClr w14:val="bg1"/>
                              </w14:solidFill>
                            </w14:textFill>
                            <w14:ligatures w14:val="none"/>
                          </w:rPr>
                        </w:pPr>
                        <w:r>
                          <w:rPr>
                            <w:rFonts w:ascii="Verdana" w:hAnsi="Verdana" w:eastAsia="Verdana" w:cs="Times New Roman"/>
                            <w:b/>
                            <w:bCs/>
                            <w:i/>
                            <w:iCs/>
                            <w:color w:val="FFFFFF" w:themeColor="background1"/>
                            <w:kern w:val="24"/>
                            <w:sz w:val="16"/>
                            <w:szCs w:val="16"/>
                            <w14:textFill>
                              <w14:solidFill>
                                <w14:schemeClr w14:val="bg1"/>
                              </w14:solidFill>
                            </w14:textFill>
                          </w:rPr>
                          <w:t>Transports un infrastruktūra</w:t>
                        </w:r>
                        <w:r>
                          <w:rPr>
                            <w:rFonts w:ascii="Verdana" w:hAnsi="Verdana" w:eastAsia="Verdana" w:cs="Times New Roman"/>
                            <w:b/>
                            <w:bCs/>
                            <w:color w:val="FFFFFF" w:themeColor="background1"/>
                            <w:kern w:val="24"/>
                            <w:sz w:val="16"/>
                            <w:szCs w:val="16"/>
                            <w14:textFill>
                              <w14:solidFill>
                                <w14:schemeClr w14:val="bg1"/>
                              </w14:solidFill>
                            </w14:textFill>
                          </w:rPr>
                          <w:t xml:space="preserve"> </w:t>
                        </w:r>
                        <w:r>
                          <w:rPr>
                            <w:rFonts w:ascii="Verdana" w:hAnsi="Verdana" w:eastAsia="Verdana" w:cs="Times New Roman"/>
                            <w:color w:val="FFFFFF" w:themeColor="background1"/>
                            <w:kern w:val="24"/>
                            <w:sz w:val="16"/>
                            <w:szCs w:val="16"/>
                            <w14:textFill>
                              <w14:solidFill>
                                <w14:schemeClr w14:val="bg1"/>
                              </w14:solidFill>
                            </w14:textFill>
                          </w:rPr>
                          <w:t>– karš ir izjaucis galvenos transporta ceļus, ietekmējot preču un cilvēku plūsmu visā Austrumeiropā, tirdzniecību un tūrismu, kā arī apgrūtinājis saimniecisko darbību un tirdzniecību</w:t>
                        </w:r>
                      </w:p>
                    </w:txbxContent>
                  </v:textbox>
                </v:rect>
                <v:rect id="Rectangle 877371617" o:spid="_x0000_s1026" o:spt="1" style="position:absolute;left:8930;top:1317136;height:575879;width:5739162;v-text-anchor:middle;" fillcolor="#365236" filled="t" stroked="f" coordsize="21600,21600" o:gfxdata="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E&#10;uJ3CAAAA4gAAAA8AAAAAAAAAAQAgAAAAIgAAAGRycy9kb3ducmV2LnhtbFBLAQIUABQAAAAIAIdO&#10;4kAzLwWeOwAAADkAAAAQAAAAAAAAAAEAIAAAABEBAABkcnMvc2hhcGV4bWwueG1sUEsFBgAAAAAG&#10;AAYAWwEAALsDAAAAAA==&#10;">
                  <v:fill on="t" focussize="0,0"/>
                  <v:stroke on="f" weight="1pt" miterlimit="8" joinstyle="miter"/>
                  <v:imagedata o:title=""/>
                  <o:lock v:ext="edit" aspectratio="f"/>
                  <v:textbox>
                    <w:txbxContent>
                      <w:p w14:paraId="67AD3AE0">
                        <w:pPr>
                          <w:rPr>
                            <w:rFonts w:ascii="Verdana" w:hAnsi="Verdana" w:eastAsia="Verdana" w:cs="Times New Roman"/>
                            <w:b/>
                            <w:bCs/>
                            <w:i/>
                            <w:iCs/>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14:ligatures w14:val="none"/>
                          </w:rPr>
                        </w:pPr>
                        <w:r>
                          <w:rPr>
                            <w:rFonts w:ascii="Verdana" w:hAnsi="Verdana" w:eastAsia="Verdana" w:cs="Times New Roman"/>
                            <w:b/>
                            <w:bCs/>
                            <w:i/>
                            <w:iCs/>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 xml:space="preserve">Ekonomiskie aspekti </w:t>
                        </w:r>
                        <w:r>
                          <w:rPr>
                            <w:rFonts w:ascii="Verdana" w:hAnsi="Verdana" w:eastAsia="Verdana" w:cs="Times New Roman"/>
                            <w:color w:val="FFFFFF" w:themeColor="background1"/>
                            <w:kern w:val="24"/>
                            <w:sz w:val="16"/>
                            <w:szCs w:val="16"/>
                            <w14:shadow w14:blurRad="38100" w14:dist="38100" w14:dir="2700000" w14:sx="100000" w14:sy="100000" w14:kx="0" w14:ky="0" w14:algn="tl">
                              <w14:srgbClr w14:val="000000">
                                <w14:alpha w14:val="57000"/>
                              </w14:srgbClr>
                            </w14:shadow>
                            <w14:textFill>
                              <w14:solidFill>
                                <w14:schemeClr w14:val="bg1"/>
                              </w14:solidFill>
                            </w14:textFill>
                          </w:rPr>
                          <w:t>– karš īpaši ir skāris tās valstis, kurām pirms kara sākuma bija spēcīgas ekonomiskās saites ar Krieviju vai Baltkrieviju</w:t>
                        </w:r>
                      </w:p>
                    </w:txbxContent>
                  </v:textbox>
                </v:rect>
              </v:group>
            </w:pict>
          </mc:Fallback>
        </mc:AlternateContent>
      </w:r>
    </w:p>
    <w:p w14:paraId="3EEED22D">
      <w:pPr>
        <w:spacing w:after="120" w:line="240" w:lineRule="auto"/>
        <w:jc w:val="both"/>
        <w:rPr>
          <w:rFonts w:ascii="Times New Roman" w:hAnsi="Times New Roman" w:cs="Times New Roman"/>
          <w:sz w:val="24"/>
          <w:szCs w:val="24"/>
        </w:rPr>
      </w:pPr>
    </w:p>
    <w:p w14:paraId="42D916E7">
      <w:pPr>
        <w:spacing w:after="120" w:line="240" w:lineRule="auto"/>
        <w:jc w:val="both"/>
        <w:rPr>
          <w:rFonts w:ascii="Times New Roman" w:hAnsi="Times New Roman" w:cs="Times New Roman"/>
          <w:sz w:val="24"/>
          <w:szCs w:val="24"/>
        </w:rPr>
      </w:pPr>
    </w:p>
    <w:p w14:paraId="31D0F003">
      <w:pPr>
        <w:spacing w:after="120" w:line="240" w:lineRule="auto"/>
        <w:jc w:val="both"/>
        <w:rPr>
          <w:rFonts w:ascii="Times New Roman" w:hAnsi="Times New Roman" w:cs="Times New Roman"/>
          <w:sz w:val="24"/>
          <w:szCs w:val="24"/>
        </w:rPr>
      </w:pPr>
    </w:p>
    <w:p w14:paraId="569AC75B">
      <w:pPr>
        <w:spacing w:after="120" w:line="240" w:lineRule="auto"/>
        <w:jc w:val="both"/>
        <w:rPr>
          <w:rFonts w:ascii="Times New Roman" w:hAnsi="Times New Roman" w:cs="Times New Roman"/>
          <w:sz w:val="24"/>
          <w:szCs w:val="24"/>
        </w:rPr>
      </w:pPr>
    </w:p>
    <w:p w14:paraId="21A17D78">
      <w:pPr>
        <w:spacing w:after="120" w:line="240" w:lineRule="auto"/>
        <w:jc w:val="both"/>
        <w:rPr>
          <w:rFonts w:ascii="Times New Roman" w:hAnsi="Times New Roman" w:cs="Times New Roman"/>
          <w:sz w:val="24"/>
          <w:szCs w:val="24"/>
        </w:rPr>
      </w:pPr>
    </w:p>
    <w:p w14:paraId="67BBF6C7">
      <w:pPr>
        <w:spacing w:after="120" w:line="240" w:lineRule="auto"/>
        <w:jc w:val="both"/>
        <w:rPr>
          <w:rFonts w:ascii="Times New Roman" w:hAnsi="Times New Roman" w:cs="Times New Roman"/>
          <w:sz w:val="24"/>
          <w:szCs w:val="24"/>
        </w:rPr>
      </w:pPr>
    </w:p>
    <w:p w14:paraId="1309EC79">
      <w:pPr>
        <w:spacing w:after="120" w:line="240" w:lineRule="auto"/>
        <w:jc w:val="both"/>
        <w:rPr>
          <w:rFonts w:ascii="Times New Roman" w:hAnsi="Times New Roman" w:cs="Times New Roman"/>
          <w:sz w:val="24"/>
          <w:szCs w:val="24"/>
        </w:rPr>
      </w:pPr>
    </w:p>
    <w:p w14:paraId="07E254FA">
      <w:pPr>
        <w:spacing w:after="120" w:line="240" w:lineRule="auto"/>
        <w:jc w:val="both"/>
        <w:rPr>
          <w:rFonts w:ascii="Times New Roman" w:hAnsi="Times New Roman" w:cs="Times New Roman"/>
          <w:sz w:val="20"/>
          <w:szCs w:val="20"/>
        </w:rPr>
      </w:pPr>
    </w:p>
    <w:p w14:paraId="48128927">
      <w:pPr>
        <w:spacing w:after="120" w:line="240" w:lineRule="auto"/>
        <w:jc w:val="both"/>
        <w:rPr>
          <w:rFonts w:ascii="Times New Roman" w:hAnsi="Times New Roman" w:cs="Times New Roman"/>
          <w:sz w:val="20"/>
          <w:szCs w:val="20"/>
        </w:rPr>
      </w:pPr>
    </w:p>
    <w:p w14:paraId="32AC42CA">
      <w:pPr>
        <w:spacing w:after="120" w:line="240" w:lineRule="auto"/>
        <w:jc w:val="both"/>
        <w:rPr>
          <w:rFonts w:ascii="Times New Roman" w:hAnsi="Times New Roman" w:cs="Times New Roman"/>
          <w:sz w:val="20"/>
          <w:szCs w:val="20"/>
        </w:rPr>
      </w:pPr>
    </w:p>
    <w:p w14:paraId="0FA8610E">
      <w:pPr>
        <w:spacing w:after="120" w:line="240" w:lineRule="auto"/>
        <w:jc w:val="both"/>
        <w:rPr>
          <w:rFonts w:ascii="Times New Roman" w:hAnsi="Times New Roman" w:cs="Times New Roman"/>
          <w:sz w:val="24"/>
          <w:szCs w:val="24"/>
        </w:rPr>
      </w:pPr>
      <w:r>
        <w:rPr>
          <w:rFonts w:ascii="Times New Roman" w:hAnsi="Times New Roman" w:cs="Times New Roman"/>
          <w:sz w:val="20"/>
          <w:szCs w:val="20"/>
        </w:rPr>
        <w:t>3.attēls. Jauni i</w:t>
      </w:r>
      <w:r>
        <w:rPr>
          <w:rFonts w:ascii="Times New Roman" w:hAnsi="Times New Roman" w:eastAsia="Times New Roman" w:cs="Times New Roman"/>
          <w:sz w:val="20"/>
          <w:szCs w:val="20"/>
        </w:rPr>
        <w:t xml:space="preserve">zaicinājumi Austrumu pierobežā pēc </w:t>
      </w:r>
      <w:r>
        <w:rPr>
          <w:rFonts w:ascii="Times New Roman" w:hAnsi="Times New Roman" w:cs="Times New Roman"/>
          <w:sz w:val="20"/>
          <w:szCs w:val="20"/>
        </w:rPr>
        <w:t>Krievijas pilna apmēra agresijas kara pret Ukrainu uzsākšanās.</w:t>
      </w:r>
      <w:r>
        <w:rPr>
          <w:rFonts w:ascii="Times New Roman" w:hAnsi="Times New Roman" w:cs="Times New Roman"/>
          <w:sz w:val="24"/>
          <w:szCs w:val="24"/>
        </w:rPr>
        <w:t xml:space="preserve"> </w:t>
      </w:r>
    </w:p>
    <w:p w14:paraId="61AD6FBD">
      <w:pPr>
        <w:spacing w:after="120" w:line="240" w:lineRule="auto"/>
        <w:jc w:val="both"/>
        <w:rPr>
          <w:rFonts w:ascii="Times New Roman" w:hAnsi="Times New Roman" w:cs="Times New Roman"/>
          <w:sz w:val="20"/>
          <w:szCs w:val="20"/>
        </w:rPr>
      </w:pPr>
      <w:r>
        <w:rPr>
          <w:rFonts w:ascii="Times New Roman" w:hAnsi="Times New Roman" w:cs="Times New Roman"/>
          <w:sz w:val="24"/>
          <w:szCs w:val="24"/>
        </w:rPr>
        <w:t>Pēc VARAM iniciatīvas SIA ERNST &amp; YOUNG BALTIC sagatavoja pētījumu par Krievijas pilna apmēra agresijas kara pret Ukrainu radīto ietekmi</w:t>
      </w:r>
      <w:r>
        <w:rPr>
          <w:rStyle w:val="20"/>
          <w:rFonts w:ascii="Times New Roman" w:hAnsi="Times New Roman" w:cs="Times New Roman"/>
          <w:sz w:val="24"/>
          <w:szCs w:val="24"/>
        </w:rPr>
        <w:footnoteReference w:id="10"/>
      </w:r>
      <w:r>
        <w:rPr>
          <w:rFonts w:ascii="Times New Roman" w:hAnsi="Times New Roman" w:cs="Times New Roman"/>
          <w:sz w:val="24"/>
          <w:szCs w:val="24"/>
        </w:rPr>
        <w:t>. Pētījumā tika identificēta ietekme - izaicinājumi   tādos aspektos kā drošība</w:t>
      </w:r>
      <w:r>
        <w:rPr>
          <w:rStyle w:val="20"/>
          <w:rFonts w:ascii="Times New Roman" w:hAnsi="Times New Roman" w:cs="Times New Roman"/>
          <w:sz w:val="24"/>
          <w:szCs w:val="24"/>
        </w:rPr>
        <w:footnoteReference w:id="11"/>
      </w:r>
      <w:r>
        <w:rPr>
          <w:rFonts w:ascii="Times New Roman" w:hAnsi="Times New Roman" w:cs="Times New Roman"/>
          <w:sz w:val="24"/>
          <w:szCs w:val="24"/>
        </w:rPr>
        <w:t>, ekonomika</w:t>
      </w:r>
      <w:r>
        <w:rPr>
          <w:rStyle w:val="20"/>
          <w:rFonts w:ascii="Times New Roman" w:hAnsi="Times New Roman" w:cs="Times New Roman"/>
          <w:sz w:val="24"/>
          <w:szCs w:val="24"/>
        </w:rPr>
        <w:footnoteReference w:id="12"/>
      </w:r>
      <w:r>
        <w:rPr>
          <w:rFonts w:ascii="Times New Roman" w:hAnsi="Times New Roman" w:cs="Times New Roman"/>
          <w:sz w:val="24"/>
          <w:szCs w:val="24"/>
        </w:rPr>
        <w:t>, energoapgāde</w:t>
      </w:r>
      <w:r>
        <w:rPr>
          <w:rStyle w:val="20"/>
          <w:rFonts w:ascii="Times New Roman" w:hAnsi="Times New Roman" w:cs="Times New Roman"/>
          <w:sz w:val="24"/>
          <w:szCs w:val="24"/>
        </w:rPr>
        <w:footnoteReference w:id="13"/>
      </w:r>
      <w:r>
        <w:rPr>
          <w:rFonts w:ascii="Times New Roman" w:hAnsi="Times New Roman" w:cs="Times New Roman"/>
          <w:sz w:val="24"/>
          <w:szCs w:val="24"/>
        </w:rPr>
        <w:t>, bēgļu krīze</w:t>
      </w:r>
      <w:r>
        <w:rPr>
          <w:rStyle w:val="20"/>
          <w:rFonts w:ascii="Times New Roman" w:hAnsi="Times New Roman" w:cs="Times New Roman"/>
          <w:sz w:val="24"/>
          <w:szCs w:val="24"/>
        </w:rPr>
        <w:footnoteReference w:id="14"/>
      </w:r>
      <w:r>
        <w:rPr>
          <w:rFonts w:ascii="Times New Roman" w:hAnsi="Times New Roman" w:cs="Times New Roman"/>
          <w:sz w:val="24"/>
          <w:szCs w:val="24"/>
        </w:rPr>
        <w:t xml:space="preserve"> un transports un infrastruktūra</w:t>
      </w:r>
      <w:r>
        <w:rPr>
          <w:rFonts w:ascii="Times New Roman" w:hAnsi="Times New Roman" w:cs="Times New Roman"/>
          <w:sz w:val="24"/>
          <w:szCs w:val="24"/>
          <w:vertAlign w:val="superscript"/>
        </w:rPr>
        <w:footnoteReference w:id="15"/>
      </w:r>
      <w:r>
        <w:rPr>
          <w:rFonts w:ascii="Times New Roman" w:hAnsi="Times New Roman" w:cs="Times New Roman"/>
          <w:sz w:val="24"/>
          <w:szCs w:val="24"/>
        </w:rPr>
        <w:t>.</w:t>
      </w:r>
    </w:p>
    <w:p w14:paraId="2AE47CEA">
      <w:pPr>
        <w:spacing w:after="120" w:line="240" w:lineRule="auto"/>
        <w:jc w:val="center"/>
        <w:rPr>
          <w:rFonts w:ascii="Times New Roman" w:hAnsi="Times New Roman" w:cs="Times New Roman"/>
          <w:sz w:val="20"/>
          <w:szCs w:val="20"/>
        </w:rPr>
      </w:pPr>
      <w:r>
        <w:drawing>
          <wp:inline distT="0" distB="0" distL="0" distR="0">
            <wp:extent cx="6120130" cy="3442335"/>
            <wp:effectExtent l="0" t="0" r="0" b="5715"/>
            <wp:docPr id="14916443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44363" name="Picture 1" descr="A screenshot of a computer&#10;&#10;Description automatically generated"/>
                    <pic:cNvPicPr>
                      <a:picLocks noChangeAspect="1"/>
                    </pic:cNvPicPr>
                  </pic:nvPicPr>
                  <pic:blipFill>
                    <a:blip r:embed="rId15"/>
                    <a:stretch>
                      <a:fillRect/>
                    </a:stretch>
                  </pic:blipFill>
                  <pic:spPr>
                    <a:xfrm>
                      <a:off x="0" y="0"/>
                      <a:ext cx="6120130" cy="3442335"/>
                    </a:xfrm>
                    <a:prstGeom prst="rect">
                      <a:avLst/>
                    </a:prstGeom>
                  </pic:spPr>
                </pic:pic>
              </a:graphicData>
            </a:graphic>
          </wp:inline>
        </w:drawing>
      </w:r>
    </w:p>
    <w:p w14:paraId="5C989E06">
      <w:pPr>
        <w:spacing w:after="120" w:line="240" w:lineRule="auto"/>
        <w:jc w:val="center"/>
        <w:rPr>
          <w:rFonts w:ascii="Times New Roman" w:hAnsi="Times New Roman" w:cs="Times New Roman"/>
          <w:sz w:val="24"/>
          <w:szCs w:val="24"/>
        </w:rPr>
      </w:pPr>
      <w:r>
        <w:rPr>
          <w:rFonts w:ascii="Times New Roman" w:hAnsi="Times New Roman" w:cs="Times New Roman"/>
          <w:sz w:val="20"/>
          <w:szCs w:val="20"/>
        </w:rPr>
        <w:t>4.attēls. Izaicinājumi un attīstības iespējas</w:t>
      </w:r>
      <w:r>
        <w:rPr>
          <w:rFonts w:ascii="Times New Roman" w:hAnsi="Times New Roman" w:eastAsia="Times New Roman" w:cs="Times New Roman"/>
          <w:sz w:val="20"/>
          <w:szCs w:val="20"/>
        </w:rPr>
        <w:t xml:space="preserve"> Austrumu pierobežā pēc </w:t>
      </w:r>
      <w:r>
        <w:rPr>
          <w:rFonts w:ascii="Times New Roman" w:hAnsi="Times New Roman" w:cs="Times New Roman"/>
          <w:sz w:val="20"/>
          <w:szCs w:val="20"/>
        </w:rPr>
        <w:t>Krievijas pilna apmēra agresijas kara pret Ukrainu uzsākšanās.</w:t>
      </w:r>
      <w:r>
        <w:rPr>
          <w:rStyle w:val="20"/>
          <w:rFonts w:ascii="Times New Roman" w:hAnsi="Times New Roman" w:cs="Times New Roman"/>
          <w:sz w:val="20"/>
          <w:szCs w:val="20"/>
        </w:rPr>
        <w:footnoteReference w:id="16"/>
      </w:r>
      <w:r>
        <w:rPr>
          <w:rFonts w:ascii="Times New Roman" w:hAnsi="Times New Roman" w:cs="Times New Roman"/>
          <w:sz w:val="20"/>
          <w:szCs w:val="20"/>
        </w:rPr>
        <w:t xml:space="preserve"> (Avots: izaicinājumi pēc iepriekšminēto pētījumu informācijas, attīstības iespējas pēc ministriju sniegtās informācijas)</w:t>
      </w:r>
    </w:p>
    <w:p w14:paraId="3C017EAF">
      <w:pPr>
        <w:spacing w:after="120" w:line="240" w:lineRule="auto"/>
        <w:ind w:right="54"/>
        <w:jc w:val="both"/>
        <w:rPr>
          <w:rFonts w:ascii="Times New Roman" w:hAnsi="Times New Roman" w:eastAsia="Calibri" w:cs="Times New Roman"/>
          <w:sz w:val="24"/>
          <w:szCs w:val="24"/>
          <w:lang w:eastAsia="lv-LV"/>
        </w:rPr>
      </w:pPr>
    </w:p>
    <w:p w14:paraId="3CE30263">
      <w:p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 xml:space="preserve">Kā Ziemeļatlantijas Līguma organizācijas (turpmāk – NATO) tīmekļvietnē raksta bijušais Polijas diplomāts un NATO amatpersona Roberts Pzcels (Robert Pszczel), “Krievijas neizprovocētais, nepamatotais un barbariskais iebrukums Ukrainā ir ne tikai milzīgu drošības briesmu izpausme, kas sagrāvusi mieru Eiropā. Tas ir salauzis visu kontinentā pacietīgi daudzu desmitgažu laikā uzbūvēto drošības arhitektūru, ieskaitot starptautiskās saistības, par kurām panākta vienošanās pēdējo 30 gadu laikā. Ar kodoldraudu dimensiju vai bez tās Krievijas kaimiņiem jau ir pamatoti iemesli baidīties no Krievijas. Viņi jūt, ka, ja to neapturēs Ukrainā un pie tās, tad Putins var vērst agresiju pret citām teritorijām. Uz šo draudu smagumu norāda gan Somijas, gan Zviedrijas vēsturiskais lēmums pieteikties dalībai NATO. Mazās valstis, piemēram, Moldova un Gruzija, bet arī Maskavas formālie sabiedrotie, piemēram, Kazahstāna, var baidīties kļūt par Putina nākamo mērķi. Kremlis nav mēģinājis šīs bailes kliedēt, bet tā vietā pastiprinājis tās ar tiešu draudu, propagandas un iebiedēšanas sviru palīdzību. Krievija ir sākusi izbaudīt savu plēsēja lomu, un tā izmanto brutālu spēku savu imperiālistisko mērķu sasniegšanai. Pat novājināta Krievija joprojām spēj nodarīt smagus zaudējumus citiem. Apturēt to spēs tikai spēcīga atturēšana un uzticams spēks NATO pusē. Būtiski, ka sabiedrotie beidzot ir piedēvējuši atbildību tur, kur tā slēpjas, jaunajā NATO stratēģiskajā koncepcijā nosaucot Krieviju par “būtiskāko un tiešāko apdraudējumu sabiedroto drošībai”.” </w:t>
      </w:r>
    </w:p>
    <w:p w14:paraId="6BDF7531">
      <w:p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Kā norādīts informatīvajā ziņojumā “Par atbalstu Eiropas Savienības Austrumu pierobežas konkurētspējas stiprināšanai” (izskatīts Ministru kabinetā 2023. gada 28.novembrī, protokols Nr.59 56.§), ņemot vērā ģeopolitisko situāciju, infrastruktūras attīstībā būtu jāpiemēro jauna plānošanas pieeja, piedāvājot divējādas lietojamības risinājumus, nodrošinot objektu militāro un civilo pielietojumu, piemēram, mobilitātes un pretmobilitātes infrastruktūra, kas reizē var nodrošināt būtisku potenciālo ietekmi reģionālai attīstībai (saistībā ar reģionālo mobilitāti, ekonomisko aktivitāti un pakalpojumu pieejamību) un klimata pielāgošanās pasākumiem. Līdzīgi divējādo lietojamību var skatīt jebkurai pakalpojumu infrastruktūrai, kad, to izveidojot vai sakārtojot, var nodrošināt gan pakalpojumu pieejamību, gan reizē var rast risinājumu civilai aizsardzībai (piemēram, bumbu patvertnes u.tml.) (par divējādā lietojuma risinājumiem sk. plašāk 2.pielikumā).</w:t>
      </w:r>
    </w:p>
    <w:p w14:paraId="6BF2214F">
      <w:p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Vienlaikus, izpildot augstāk minētā informatīvā ziņojuma protokollēmuma 3. un 4. punktā noteiktos uzdevumus, plāna 2.pielikumā atspoguļoti vērtēšanas kritēriji, uz kā pamata tiks izvērtēti pašvaldību sākotnēji iesniegtie priekšlikumi par aktuālām infrastruktūras izveides un atjaunošanas vajadzībām mobilitātes un pakalpojumu jomās, kas apkopoti augstāk minētā informatīvā ziņojuma 1. un 2.pielikumā, nodrošinot divējādas lietojamības infrastruktūras attīstību Austrumu pierobežas reģionā. Balstoties uz izvērtējuma rezultātiem, tiks sagatavots divējādas lietojamības mobilitātes un pakalpojumu infrastruktūras kartējums un informācija par šo projektu ieviešanai nepieciešamā finansējuma apjomu.</w:t>
      </w:r>
    </w:p>
    <w:p w14:paraId="0C57F2F1">
      <w:pPr>
        <w:spacing w:after="120" w:line="240" w:lineRule="auto"/>
        <w:ind w:right="54"/>
        <w:jc w:val="both"/>
        <w:rPr>
          <w:rFonts w:ascii="Times New Roman" w:hAnsi="Times New Roman" w:eastAsia="Calibri" w:cs="Times New Roman"/>
          <w:b/>
          <w:bCs/>
          <w:sz w:val="24"/>
          <w:szCs w:val="24"/>
          <w:lang w:eastAsia="lv-LV"/>
        </w:rPr>
      </w:pPr>
    </w:p>
    <w:p w14:paraId="7B5BAB52">
      <w:pPr>
        <w:spacing w:after="120" w:line="240" w:lineRule="auto"/>
        <w:ind w:right="54"/>
        <w:jc w:val="both"/>
        <w:rPr>
          <w:rFonts w:ascii="Times New Roman" w:hAnsi="Times New Roman" w:eastAsia="Calibri" w:cs="Times New Roman"/>
          <w:b/>
          <w:bCs/>
          <w:sz w:val="24"/>
          <w:szCs w:val="24"/>
          <w:lang w:eastAsia="lv-LV"/>
        </w:rPr>
      </w:pPr>
      <w:r>
        <w:rPr>
          <w:rFonts w:ascii="Times New Roman" w:hAnsi="Times New Roman" w:eastAsia="Calibri" w:cs="Times New Roman"/>
          <w:b/>
          <w:bCs/>
          <w:sz w:val="24"/>
          <w:szCs w:val="24"/>
          <w:lang w:eastAsia="lv-LV"/>
        </w:rPr>
        <w:t>Starptautiskā dimensija</w:t>
      </w:r>
    </w:p>
    <w:p w14:paraId="39C69A2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Papildus starptautiskā mērogā ir uzsāktas vairākas iniciatīvas Eiropas Austrumu pierobežas stiprināšanai, kas var sniegt pienesumu plāna izstrādē un pasākumu īstenošanā:</w:t>
      </w:r>
    </w:p>
    <w:p w14:paraId="13152DE1">
      <w:pPr>
        <w:pStyle w:val="52"/>
        <w:numPr>
          <w:ilvl w:val="0"/>
          <w:numId w:val="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Eiropas Teritoriālās attīstības un kohēzijas novērošanas tīkla (turpmāk – ESPON) CHANEBO projekts “Izaicinājumi pie ES ziemeļaustrumu ārējām robežām” (</w:t>
      </w:r>
      <w:r>
        <w:rPr>
          <w:rFonts w:ascii="Times New Roman" w:hAnsi="Times New Roman" w:cs="Times New Roman"/>
          <w:i/>
          <w:iCs/>
          <w:sz w:val="24"/>
          <w:szCs w:val="24"/>
        </w:rPr>
        <w:t>Challenges at EU’s North-East External Borders</w:t>
      </w:r>
      <w:r>
        <w:rPr>
          <w:rFonts w:ascii="Times New Roman" w:hAnsi="Times New Roman" w:cs="Times New Roman"/>
          <w:sz w:val="24"/>
          <w:szCs w:val="24"/>
        </w:rPr>
        <w:t>).</w:t>
      </w:r>
      <w:r>
        <w:rPr>
          <w:rStyle w:val="20"/>
          <w:rFonts w:ascii="Times New Roman" w:hAnsi="Times New Roman" w:cs="Times New Roman"/>
          <w:sz w:val="24"/>
          <w:szCs w:val="24"/>
        </w:rPr>
        <w:footnoteReference w:id="17"/>
      </w:r>
    </w:p>
    <w:p w14:paraId="2E8DC47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Šīs analīzes mērķis ir iegūt pierādījumus par reģionu attīstības iespējām pie ES ziemeļaustrumu ārējās robežas, ņemot vērā to, ka ir apturētas pārrobežu sadarbības programmas, un palīdzēt pārorientēt cilvēkkapitālu un politikas instrumentus uz jauniem starptautiskās sadarbības ģeogrāfiskajiem virzieniem. Šis pētījums palīdzēs iesaistītajiem reģioniem stiprināt to noturību pret nākotnes izaicinājumiem saistībā ar kohēziju un drošību.</w:t>
      </w:r>
    </w:p>
    <w:p w14:paraId="4FDC74BB">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Kā norādīts ESPON CHANEBO projekta sākotnējā ziņojumā</w:t>
      </w:r>
      <w:r>
        <w:rPr>
          <w:rStyle w:val="20"/>
          <w:rFonts w:ascii="Times New Roman" w:hAnsi="Times New Roman" w:cs="Times New Roman"/>
          <w:sz w:val="24"/>
          <w:szCs w:val="24"/>
        </w:rPr>
        <w:footnoteReference w:id="18"/>
      </w:r>
      <w:r>
        <w:rPr>
          <w:rFonts w:ascii="Times New Roman" w:hAnsi="Times New Roman" w:cs="Times New Roman"/>
          <w:sz w:val="24"/>
          <w:szCs w:val="24"/>
        </w:rPr>
        <w:t xml:space="preserve">, Austrumu pierobežā drošība un stabilitāte ir ekonomikas attīstības atslēga, piesaistot ārvalstu tiešos ieguldījumus un saglabājot cilvēkkapitālu. Līdz ar ES valstu reģionu pārrobežu sadarbības programmu slēgšanu ar Krieviju un Baltkrieviju Krievijas agresijas pret Ukrainu dēļ, pēc ESPON aplēsēm tika pārvirzīti prom no pierobežas reģioniem kopā 257 miljoni </w:t>
      </w:r>
      <w:r>
        <w:rPr>
          <w:rFonts w:ascii="Times New Roman" w:hAnsi="Times New Roman" w:cs="Times New Roman"/>
          <w:i/>
          <w:iCs/>
          <w:sz w:val="24"/>
          <w:szCs w:val="24"/>
        </w:rPr>
        <w:t>euro</w:t>
      </w:r>
      <w:r>
        <w:rPr>
          <w:rFonts w:ascii="Times New Roman" w:hAnsi="Times New Roman" w:cs="Times New Roman"/>
          <w:sz w:val="24"/>
          <w:szCs w:val="24"/>
        </w:rPr>
        <w:t xml:space="preserve"> finansējuma, nepiedāvājot neko citu vietā, kas ir bijis nozīmīgs zaudējums attiecīgajām teritorijām.</w:t>
      </w:r>
    </w:p>
    <w:p w14:paraId="5776F948">
      <w:pPr>
        <w:spacing w:after="120" w:line="240" w:lineRule="auto"/>
        <w:jc w:val="both"/>
        <w:rPr>
          <w:rFonts w:ascii="Times New Roman" w:hAnsi="Times New Roman" w:cs="Times New Roman"/>
          <w:sz w:val="18"/>
          <w:szCs w:val="18"/>
        </w:rPr>
      </w:pPr>
    </w:p>
    <w:p w14:paraId="0A4626B6">
      <w:pPr>
        <w:pStyle w:val="52"/>
        <w:numPr>
          <w:ilvl w:val="0"/>
          <w:numId w:val="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Eiropas Komisijas (turpmāk – EK) projekts sadarbībā ar Pasaules Banku “Baltijas valstu attīstības izlīdzināšanās reģionu iniciatīva Igaunijā, Latvijā un Lietuvā: robežreģionu stiprināšana noturībai un izaugsmei” (</w:t>
      </w:r>
      <w:r>
        <w:rPr>
          <w:rFonts w:ascii="Times New Roman" w:hAnsi="Times New Roman" w:cs="Times New Roman"/>
          <w:i/>
          <w:iCs/>
          <w:sz w:val="24"/>
          <w:szCs w:val="24"/>
        </w:rPr>
        <w:t>Baltic States Catching-up Regions Initiative Estonia, Latvia &amp; Lithuania: Strengthening Border Regions for Resilience and Growth</w:t>
      </w:r>
      <w:r>
        <w:rPr>
          <w:rFonts w:ascii="Times New Roman" w:hAnsi="Times New Roman" w:cs="Times New Roman"/>
          <w:sz w:val="24"/>
          <w:szCs w:val="24"/>
        </w:rPr>
        <w:t>).</w:t>
      </w:r>
    </w:p>
    <w:p w14:paraId="4047C8A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EK Reģionālās un pilsētu politikas ģenerāldirektorāts (turpmāk – DG REGIO) ir parakstījis līgumu ar Pasaules Banku par šo iniciatīvu, kas veltīta Lietuvas, Latvijas un Igaunijas reģionu, kas robežojas ar Krieviju un Baltkrieviju, noturības stiprināšanai. </w:t>
      </w:r>
    </w:p>
    <w:p w14:paraId="1CE9221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Iniciatīvas mērķis ir sadarbībā ar vietējām un reģionālajām ieinteresētajām pusēm un Pasaules Bankas ekspertiem sagatavot priekšlikumus ilgtspējīgām ieguldījumu iespējām, ko varētu izmantot, plānojot turpmāko valsts un ES Kohēzijas politikas fondu atbalstu.</w:t>
      </w:r>
    </w:p>
    <w:p w14:paraId="0E7E4901">
      <w:pPr>
        <w:spacing w:after="120" w:line="240" w:lineRule="auto"/>
        <w:ind w:right="54"/>
        <w:jc w:val="both"/>
        <w:rPr>
          <w:rFonts w:ascii="Times New Roman" w:hAnsi="Times New Roman" w:cs="Times New Roman"/>
          <w:sz w:val="24"/>
          <w:szCs w:val="24"/>
        </w:rPr>
      </w:pPr>
      <w:r>
        <w:rPr>
          <w:rFonts w:ascii="Times New Roman" w:hAnsi="Times New Roman" w:cs="Times New Roman"/>
          <w:sz w:val="24"/>
          <w:szCs w:val="24"/>
        </w:rPr>
        <w:t>2024.gada septembrī VARAM saņemts projekta ietvaros sagatavots Tvēruma ziņojuma projekts (</w:t>
      </w:r>
      <w:r>
        <w:rPr>
          <w:rFonts w:ascii="Times New Roman" w:hAnsi="Times New Roman" w:cs="Times New Roman"/>
          <w:i/>
          <w:iCs/>
          <w:sz w:val="24"/>
          <w:szCs w:val="24"/>
        </w:rPr>
        <w:t>Draft scoping report</w:t>
      </w:r>
      <w:r>
        <w:rPr>
          <w:rFonts w:ascii="Times New Roman" w:hAnsi="Times New Roman" w:cs="Times New Roman"/>
          <w:sz w:val="24"/>
          <w:szCs w:val="24"/>
        </w:rPr>
        <w:t>) izvērtēšanai. Tajā identificēti šādi izaicinājumi Latgales reģionā:</w:t>
      </w:r>
    </w:p>
    <w:p w14:paraId="02A84485">
      <w:pPr>
        <w:pStyle w:val="52"/>
        <w:numPr>
          <w:ilvl w:val="0"/>
          <w:numId w:val="10"/>
        </w:num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Kopš Latvijas iestāšanās ES 2004. gadā Latgale ir zaudējusi gandrīz 100 000 iedzīvotāju. Iedzīvotāju skaita samazināšanās joprojām ir kritiska problēma, un turpmākajās desmitgadēs tiek prognozēts, ka tā joprojām būs aktuāla;</w:t>
      </w:r>
    </w:p>
    <w:p w14:paraId="4C14C417">
      <w:pPr>
        <w:pStyle w:val="52"/>
        <w:numPr>
          <w:ilvl w:val="0"/>
          <w:numId w:val="10"/>
        </w:num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Latgale saskaras ar izteiktu ekonomisko izolāciju, atrodoties vistālāk no valsts ekonomiskajiem centriem. Transporta infrastruktūra un sasniedzamība ir kritiski Latgales attīstības jautājumi. Piekļuve un attālums līdz galvenajiem transporta mezgliem rada papildu izmaksas Latgales uzņēmumiem, kas samazina to konkurētspēju. Latgalē ir autoceļu un dzelzceļu tīkls, kas to savieno ar lielākajiem pilsētu centriem, taču, lai atbalstītu ekonomisko izaugsmi, ir jāuzlabo šīs infrastruktūras kvalitāte un pārklājums;</w:t>
      </w:r>
    </w:p>
    <w:p w14:paraId="69B2DFF1">
      <w:pPr>
        <w:pStyle w:val="52"/>
        <w:numPr>
          <w:ilvl w:val="0"/>
          <w:numId w:val="10"/>
        </w:num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Tautsaimniecības attīstību kavē neatbilstoša rūpniecisko jaudu izmantošana un darbaspēka nepietiekamā profesionālā kvalifikācija, Latgales ekonomiskajā struktūrā dominē zemas pievienotās vērtības aktivitātes;</w:t>
      </w:r>
    </w:p>
    <w:p w14:paraId="39D4141A">
      <w:pPr>
        <w:pStyle w:val="52"/>
        <w:numPr>
          <w:ilvl w:val="0"/>
          <w:numId w:val="10"/>
        </w:num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Darba tirgum Latgalē raksturīgs augsts bezdarba līmenis un ierobežotas iespējas, starp reģionālajām izglītības iestādēm un darba tirgu ir nepietiekama sinerģija;</w:t>
      </w:r>
    </w:p>
    <w:p w14:paraId="518727EF">
      <w:pPr>
        <w:pStyle w:val="52"/>
        <w:numPr>
          <w:ilvl w:val="0"/>
          <w:numId w:val="10"/>
        </w:num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Neskatoties uz potenciālu, reģions saskaras ar ierobežojumiem tūrisma infrastruktūrā un izmitināšanas kapacitātē, kas kavē šīs nozares izaugsmi;</w:t>
      </w:r>
    </w:p>
    <w:p w14:paraId="2B26A3B8">
      <w:pPr>
        <w:pStyle w:val="52"/>
        <w:numPr>
          <w:ilvl w:val="0"/>
          <w:numId w:val="10"/>
        </w:num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Latgalē energoefektivitāte joprojām tiek risināta nepietiekami;</w:t>
      </w:r>
    </w:p>
    <w:p w14:paraId="1F1EABD9">
      <w:pPr>
        <w:pStyle w:val="52"/>
        <w:numPr>
          <w:ilvl w:val="0"/>
          <w:numId w:val="10"/>
        </w:num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Mājokļu trūkums kavē pozitīvas remigrācijas tendences Latgalē;</w:t>
      </w:r>
    </w:p>
    <w:p w14:paraId="321CF073">
      <w:pPr>
        <w:pStyle w:val="52"/>
        <w:numPr>
          <w:ilvl w:val="0"/>
          <w:numId w:val="10"/>
        </w:num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Finansiālās grūtības pašvaldību līmenī Latgalē izpaužas īpaši spilgti;</w:t>
      </w:r>
    </w:p>
    <w:p w14:paraId="4BAC94A9">
      <w:pPr>
        <w:pStyle w:val="52"/>
        <w:numPr>
          <w:ilvl w:val="0"/>
          <w:numId w:val="10"/>
        </w:numPr>
        <w:spacing w:after="120" w:line="240" w:lineRule="auto"/>
        <w:ind w:right="54"/>
        <w:jc w:val="both"/>
        <w:rPr>
          <w:rFonts w:ascii="Times New Roman" w:hAnsi="Times New Roman" w:eastAsia="Calibri" w:cs="Times New Roman"/>
          <w:sz w:val="24"/>
          <w:szCs w:val="24"/>
          <w:lang w:eastAsia="lv-LV"/>
        </w:rPr>
      </w:pPr>
      <w:r>
        <w:rPr>
          <w:rFonts w:ascii="Times New Roman" w:hAnsi="Times New Roman" w:eastAsia="Calibri" w:cs="Times New Roman"/>
          <w:sz w:val="24"/>
          <w:szCs w:val="24"/>
          <w:lang w:eastAsia="lv-LV"/>
        </w:rPr>
        <w:t>Ierobežota piekļuve sabiedriskajiem medijiem un ierobežota uzticēšanās tiem veicina sociālo plaisu Latgalē.</w:t>
      </w:r>
    </w:p>
    <w:p w14:paraId="36CD45B0">
      <w:pPr>
        <w:spacing w:after="120" w:line="240" w:lineRule="auto"/>
        <w:jc w:val="both"/>
        <w:rPr>
          <w:rFonts w:ascii="Times New Roman" w:hAnsi="Times New Roman" w:cs="Times New Roman"/>
          <w:b/>
          <w:bCs/>
          <w:sz w:val="18"/>
          <w:szCs w:val="18"/>
        </w:rPr>
      </w:pPr>
    </w:p>
    <w:p w14:paraId="7BF74467">
      <w:pPr>
        <w:pStyle w:val="52"/>
        <w:numPr>
          <w:ilvl w:val="0"/>
          <w:numId w:val="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Ekonomiskās Sadarbības un Attīstības organizācija (turpmāk –</w:t>
      </w:r>
      <w:r>
        <w:rPr>
          <w:rFonts w:ascii="Times New Roman" w:hAnsi="Times New Roman" w:eastAsia="Times New Roman" w:cs="Times New Roman"/>
          <w:sz w:val="24"/>
          <w:szCs w:val="24"/>
        </w:rPr>
        <w:t xml:space="preserve"> </w:t>
      </w:r>
      <w:r>
        <w:rPr>
          <w:rFonts w:ascii="Times New Roman" w:hAnsi="Times New Roman" w:cs="Times New Roman"/>
          <w:sz w:val="24"/>
          <w:szCs w:val="24"/>
        </w:rPr>
        <w:t>OECD) sadarbībā ar EK īsteno projektu “Apsverot reģionālo pievilcību zaļai un iekļaujošai globalizācijai” (</w:t>
      </w:r>
      <w:r>
        <w:rPr>
          <w:rFonts w:ascii="Times New Roman" w:hAnsi="Times New Roman" w:cs="Times New Roman"/>
          <w:i/>
          <w:iCs/>
          <w:sz w:val="24"/>
          <w:szCs w:val="24"/>
        </w:rPr>
        <w:t>Rethinking regional attractiveness for green and inclusive globalisation</w:t>
      </w:r>
      <w:r>
        <w:rPr>
          <w:rFonts w:ascii="Times New Roman" w:hAnsi="Times New Roman" w:cs="Times New Roman"/>
          <w:sz w:val="24"/>
          <w:szCs w:val="24"/>
        </w:rPr>
        <w:t>), kas cita starpā aptver Latgali kā Austrumu pierobežas reģionu.</w:t>
      </w:r>
    </w:p>
    <w:p w14:paraId="580830F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Ar EK DG REGIO atbalstu OECD palīdzēs 11 reģioniem 6 Eiropas valstīs (Grieķijā, Itālijā, Latvijā, Polijā, Portugālē un Spānijā) pārskatīt savas pievilcības stratēģijas. OECD misijas (īstenota 2024.gada maijā) Latgalē mērķis bija mācīties no dažādu internacionalizācijas un pievilcības politikas veidošanā iesaistīto dalībnieku pieredzes. Tas ir jautājums par labāku izpratni par galvenajiem uzdevumiem, iespējām un labo praksi, tieši runājot ar praktizējošiem speciālistiem uz vietas. Rezultātā tiks apkopoti statistikas dati un tiks sniegti visaptveroši ieteikumi politiku pilnveidošanai ilgtspējīgai Latgales attīstībai. Rekomendācijas plānots sniegt 2024.gada oktobrī.</w:t>
      </w:r>
    </w:p>
    <w:p w14:paraId="1B48239A">
      <w:pPr>
        <w:spacing w:after="120" w:line="240" w:lineRule="auto"/>
        <w:jc w:val="both"/>
        <w:rPr>
          <w:rFonts w:ascii="Times New Roman" w:hAnsi="Times New Roman" w:cs="Times New Roman"/>
          <w:sz w:val="16"/>
          <w:szCs w:val="16"/>
        </w:rPr>
      </w:pPr>
    </w:p>
    <w:p w14:paraId="20D7FE1F">
      <w:pPr>
        <w:pStyle w:val="52"/>
        <w:numPr>
          <w:ilvl w:val="0"/>
          <w:numId w:val="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INTERREG Eiropas politikas mācīšanās platformas projekts, kas risina reģionālās attīstības problēmas Eiropas austrumu pierobežas reģionos, kurus visvairāk skāris Krievijas agresīvais karš pret Ukrainu un tam sekojošā robežu slēgšana (</w:t>
      </w:r>
      <w:r>
        <w:rPr>
          <w:rFonts w:ascii="Times New Roman" w:hAnsi="Times New Roman" w:cs="Times New Roman"/>
          <w:i/>
          <w:iCs/>
          <w:sz w:val="24"/>
          <w:szCs w:val="24"/>
          <w:lang w:val="en-US"/>
        </w:rPr>
        <w:t>Targeted policy learning project addressing the regional development challenges for Europe’s Eastern border regions most affected by Russia’s aggressive war on Ukraine and the subsequent closure of borders</w:t>
      </w:r>
      <w:r>
        <w:rPr>
          <w:rFonts w:ascii="Times New Roman" w:hAnsi="Times New Roman" w:cs="Times New Roman"/>
          <w:sz w:val="24"/>
          <w:szCs w:val="24"/>
          <w:lang w:val="en-US"/>
        </w:rPr>
        <w:t>)</w:t>
      </w:r>
      <w:r>
        <w:rPr>
          <w:rStyle w:val="20"/>
          <w:rFonts w:ascii="Times New Roman" w:hAnsi="Times New Roman" w:cs="Times New Roman"/>
          <w:sz w:val="24"/>
          <w:szCs w:val="24"/>
          <w:lang w:val="en-US"/>
        </w:rPr>
        <w:footnoteReference w:id="19"/>
      </w:r>
    </w:p>
    <w:p w14:paraId="46A53EB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Projekta ietvaros, piedaloties ieinteresētajām pusēm no skartajām valstīm un to reģioniem, tiek diskutēts par kopīgajiem izaicinājumiem un tiek plānots nodrošināt politiku savstarpējas mācīšanās procesu. </w:t>
      </w:r>
    </w:p>
    <w:p w14:paraId="0AFB2F8B">
      <w:pPr>
        <w:spacing w:after="0" w:line="240" w:lineRule="auto"/>
        <w:jc w:val="both"/>
        <w:rPr>
          <w:rFonts w:ascii="Times New Roman" w:hAnsi="Times New Roman" w:cs="Times New Roman"/>
          <w:sz w:val="18"/>
          <w:szCs w:val="18"/>
        </w:rPr>
      </w:pPr>
    </w:p>
    <w:p w14:paraId="3024094C">
      <w:pPr>
        <w:pStyle w:val="2"/>
        <w:numPr>
          <w:ilvl w:val="0"/>
          <w:numId w:val="7"/>
        </w:numPr>
        <w:rPr>
          <w:rFonts w:cs="Times New Roman"/>
        </w:rPr>
      </w:pPr>
      <w:bookmarkStart w:id="19" w:name="_Toc180574012"/>
      <w:r>
        <w:rPr>
          <w:rFonts w:cs="Times New Roman"/>
        </w:rPr>
        <w:t>Plāna mērķis un rīcības virzieni</w:t>
      </w:r>
      <w:bookmarkEnd w:id="19"/>
    </w:p>
    <w:p w14:paraId="7572DB84">
      <w:pPr>
        <w:spacing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Atbilstoši Reģionālās politikas pamatnostādnēm 2021.-2027. gadam 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apdzīvojuma un kvalitatīvas dzīves vides attīstībai, vidējā termiņā panākot reģionālā IKP starpības samazinājumu. </w:t>
      </w:r>
    </w:p>
    <w:p w14:paraId="454716CA">
      <w:pPr>
        <w:spacing w:after="120" w:line="240" w:lineRule="auto"/>
        <w:jc w:val="both"/>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rPr>
        <w:t xml:space="preserve">Šī plāna mērķis ir </w:t>
      </w:r>
      <w:r>
        <w:rPr>
          <w:rFonts w:ascii="Times New Roman" w:hAnsi="Times New Roman" w:cs="Times New Roman"/>
          <w:sz w:val="24"/>
          <w:szCs w:val="24"/>
        </w:rPr>
        <w:t xml:space="preserve">specifiski fokusēts uz Austrumu pierobežu, vienlaikus esot saskaņā ar </w:t>
      </w:r>
      <w:r>
        <w:rPr>
          <w:rFonts w:ascii="Times New Roman" w:hAnsi="Times New Roman" w:eastAsia="Times New Roman" w:cs="Times New Roman"/>
          <w:sz w:val="24"/>
          <w:szCs w:val="24"/>
        </w:rPr>
        <w:t>Reģionālās politikas pamatnostādņu 2021.-2027. gadam</w:t>
      </w:r>
      <w:r>
        <w:rPr>
          <w:rFonts w:ascii="Times New Roman" w:hAnsi="Times New Roman" w:cs="Times New Roman"/>
          <w:sz w:val="24"/>
          <w:szCs w:val="24"/>
        </w:rPr>
        <w:t xml:space="preserve"> ietvaru – Austrumu pierobežā veidot atbalsta programmas investīcijām, integrācijai, mobilitātei un dzīves kvalitātes uzlabošanai, kas tuvina reģionu ekonomisko konkurētspēju pārējiem Latvijas reģioniem, veicinot uzņēmējdarbību, stiprinot pierobežas drošību un iedzīvotāju noturību pret krīzēm​.</w:t>
      </w:r>
      <w:r>
        <w:rPr>
          <w:rFonts w:ascii="Times New Roman" w:hAnsi="Times New Roman" w:eastAsia="Times New Roman" w:cs="Times New Roman"/>
          <w:sz w:val="24"/>
          <w:szCs w:val="24"/>
          <w:lang w:eastAsia="lv-LV"/>
        </w:rPr>
        <w:t xml:space="preserve"> </w:t>
      </w:r>
      <w:r>
        <w:rPr>
          <w:rStyle w:val="20"/>
          <w:rFonts w:ascii="Times New Roman" w:hAnsi="Times New Roman" w:eastAsia="Times New Roman" w:cs="Times New Roman"/>
          <w:sz w:val="24"/>
          <w:szCs w:val="24"/>
          <w:lang w:eastAsia="lv-LV"/>
        </w:rPr>
        <w:footnoteReference w:id="20"/>
      </w:r>
    </w:p>
    <w:p w14:paraId="312AA710">
      <w:pPr>
        <w:spacing w:after="120" w:line="240" w:lineRule="auto"/>
        <w:jc w:val="both"/>
        <w:rPr>
          <w:rFonts w:ascii="Times New Roman" w:hAnsi="Times New Roman" w:eastAsia="Times New Roman" w:cs="Times New Roman"/>
          <w:sz w:val="24"/>
          <w:szCs w:val="24"/>
        </w:rPr>
      </w:pPr>
      <w:r>
        <w:rPr>
          <w:rFonts w:ascii="Times New Roman" w:hAnsi="Times New Roman" w:cs="Times New Roman"/>
          <w:sz w:val="24"/>
          <w:szCs w:val="24"/>
        </w:rPr>
        <w:t>Plāns paredz arī Austrumu pierobežas stiprināšanas jautājumu virzīt kā visas ES drošības jautājumu, daudzgadu budžeta ietvarā pēc 2027.gada panākot finansējuma piesaisti specifiski ES Austrumu pierobežas valstīm un reģioniem, kas robežojas ar Krieviju un/vai Baltkrieviju.</w:t>
      </w:r>
    </w:p>
    <w:p w14:paraId="2D52546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Šī plāna rezultatīvie rādītāji 2027.gadam Latvijas Austrumu pierobežā:</w:t>
      </w:r>
    </w:p>
    <w:p w14:paraId="468A7CD3">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715000" cy="1574800"/>
            <wp:effectExtent l="0" t="0" r="0" b="6350"/>
            <wp:docPr id="1402945590" name="Picture 1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45590" name="Picture 11" descr="A diagram of a diagram&#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15343" cy="1602962"/>
                    </a:xfrm>
                    <a:prstGeom prst="rect">
                      <a:avLst/>
                    </a:prstGeom>
                    <a:noFill/>
                    <a:ln>
                      <a:noFill/>
                    </a:ln>
                  </pic:spPr>
                </pic:pic>
              </a:graphicData>
            </a:graphic>
          </wp:inline>
        </w:drawing>
      </w:r>
    </w:p>
    <w:p w14:paraId="09C6683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Plāna trīs rīcības virzienu – drošības stiprināšana, ekonomiskā attīstība, cilvēkresursu attīstība – ietvaros īstenojamie pasākumi detalizēti apskatīti 3.nodaļā “Pasākumi izvirzītā mērķa sasniegšanai, darbības rezultāti un to rezultatīvie rādītāji”.</w:t>
      </w:r>
    </w:p>
    <w:p w14:paraId="05243CC7">
      <w:pPr>
        <w:jc w:val="both"/>
        <w:rPr>
          <w:rFonts w:ascii="Times New Roman" w:hAnsi="Times New Roman" w:cs="Times New Roman"/>
          <w:sz w:val="24"/>
          <w:szCs w:val="24"/>
        </w:rPr>
      </w:pPr>
      <w:r>
        <w:rPr>
          <w:rFonts w:ascii="Times New Roman" w:hAnsi="Times New Roman" w:cs="Times New Roman"/>
          <w:sz w:val="24"/>
          <w:szCs w:val="24"/>
        </w:rPr>
        <w:t xml:space="preserve">Plāna 3.nodaļā ietverti 53 pasākumi, kuriem kopējais pieejamais finansējums Austrumu pierobežā/Latgales plānošanas reģionā ir </w:t>
      </w:r>
      <w:r>
        <w:rPr>
          <w:rFonts w:ascii="Times New Roman" w:hAnsi="Times New Roman" w:eastAsia="Times New Roman" w:cs="Times New Roman"/>
          <w:color w:val="000000"/>
          <w:kern w:val="0"/>
          <w:sz w:val="24"/>
          <w:szCs w:val="24"/>
          <w:lang w:eastAsia="lv-LV"/>
          <w14:ligatures w14:val="none"/>
        </w:rPr>
        <w:t>476 082 274</w:t>
      </w:r>
      <w:r>
        <w:rPr>
          <w:rFonts w:ascii="Times New Roman" w:hAnsi="Times New Roman" w:eastAsia="Times New Roman" w:cs="Times New Roman"/>
          <w:b/>
          <w:bCs/>
          <w:color w:val="000000"/>
          <w:kern w:val="0"/>
          <w:sz w:val="24"/>
          <w:szCs w:val="24"/>
          <w:lang w:eastAsia="lv-LV"/>
          <w14:ligatures w14:val="none"/>
        </w:rPr>
        <w:t xml:space="preserve"> </w:t>
      </w:r>
      <w:r>
        <w:rPr>
          <w:rFonts w:ascii="Times New Roman" w:hAnsi="Times New Roman" w:eastAsia="Times New Roman" w:cs="Times New Roman"/>
          <w:i/>
          <w:color w:val="000000"/>
          <w:kern w:val="0"/>
          <w:sz w:val="24"/>
          <w:szCs w:val="24"/>
          <w:lang w:eastAsia="lv-LV"/>
          <w14:ligatures w14:val="none"/>
        </w:rPr>
        <w:t>euro</w:t>
      </w:r>
      <w:r>
        <w:rPr>
          <w:rFonts w:ascii="Times New Roman" w:hAnsi="Times New Roman" w:cs="Times New Roman"/>
          <w:sz w:val="24"/>
          <w:szCs w:val="24"/>
        </w:rPr>
        <w:t xml:space="preserve">, t.sk. valsts budžeta finansējums </w:t>
      </w:r>
      <w:r>
        <w:rPr>
          <w:rFonts w:ascii="Times New Roman" w:hAnsi="Times New Roman" w:eastAsia="Times New Roman" w:cs="Times New Roman"/>
          <w:color w:val="000000"/>
          <w:kern w:val="0"/>
          <w:sz w:val="24"/>
          <w:szCs w:val="24"/>
          <w:lang w:eastAsia="lv-LV"/>
          <w14:ligatures w14:val="none"/>
        </w:rPr>
        <w:t xml:space="preserve">150 810 098 </w:t>
      </w:r>
      <w:r>
        <w:rPr>
          <w:rFonts w:ascii="Times New Roman" w:hAnsi="Times New Roman" w:cs="Times New Roman"/>
          <w:i/>
          <w:iCs/>
          <w:sz w:val="24"/>
          <w:szCs w:val="24"/>
        </w:rPr>
        <w:t>euro</w:t>
      </w:r>
      <w:r>
        <w:rPr>
          <w:rFonts w:ascii="Times New Roman" w:hAnsi="Times New Roman" w:cs="Times New Roman"/>
          <w:sz w:val="24"/>
          <w:szCs w:val="24"/>
        </w:rPr>
        <w:t xml:space="preserve"> un ES fondu un cits ārvalstu finansējums </w:t>
      </w:r>
      <w:r>
        <w:rPr>
          <w:rFonts w:ascii="Times New Roman" w:hAnsi="Times New Roman" w:eastAsia="Times New Roman" w:cs="Times New Roman"/>
          <w:color w:val="000000"/>
          <w:kern w:val="0"/>
          <w:sz w:val="24"/>
          <w:szCs w:val="24"/>
          <w:lang w:eastAsia="lv-LV"/>
          <w14:ligatures w14:val="none"/>
        </w:rPr>
        <w:t xml:space="preserve">325 272 176 </w:t>
      </w:r>
      <w:r>
        <w:rPr>
          <w:rFonts w:ascii="Times New Roman" w:hAnsi="Times New Roman" w:cs="Times New Roman"/>
          <w:i/>
          <w:iCs/>
          <w:sz w:val="24"/>
          <w:szCs w:val="24"/>
        </w:rPr>
        <w:t>euro</w:t>
      </w:r>
      <w:r>
        <w:rPr>
          <w:rFonts w:ascii="Times New Roman" w:hAnsi="Times New Roman" w:cs="Times New Roman"/>
          <w:sz w:val="24"/>
          <w:szCs w:val="24"/>
        </w:rPr>
        <w:t xml:space="preserve">. </w:t>
      </w:r>
    </w:p>
    <w:p w14:paraId="12801FCD">
      <w:pPr>
        <w:jc w:val="both"/>
        <w:rPr>
          <w:rFonts w:ascii="Times New Roman" w:hAnsi="Times New Roman" w:cs="Times New Roman"/>
          <w:sz w:val="24"/>
          <w:szCs w:val="24"/>
        </w:rPr>
      </w:pPr>
      <w:r>
        <w:rPr>
          <w:rFonts w:ascii="Times New Roman" w:hAnsi="Times New Roman" w:cs="Times New Roman"/>
          <w:sz w:val="24"/>
          <w:szCs w:val="24"/>
        </w:rPr>
        <w:t>Attiecībā uz ES fondu 2021.-2027.gada plānošanas perioda finansējumu  norādāms, ka VARAM pārziņā īstenojamo pasākumu finansējums pa reģioniem ir sadalīts saskaņā ar teritoriālo pieeju</w:t>
      </w:r>
      <w:r>
        <w:rPr>
          <w:rStyle w:val="20"/>
          <w:rFonts w:ascii="Times New Roman" w:hAnsi="Times New Roman" w:cs="Times New Roman"/>
          <w:sz w:val="24"/>
          <w:szCs w:val="24"/>
        </w:rPr>
        <w:footnoteReference w:id="21"/>
      </w:r>
      <w:r>
        <w:rPr>
          <w:rFonts w:ascii="Times New Roman" w:hAnsi="Times New Roman" w:cs="Times New Roman"/>
          <w:sz w:val="24"/>
          <w:szCs w:val="24"/>
        </w:rPr>
        <w:t>, diferencējot atbalstu atbilstoši IKP līmenim, līdz ar to novirzot Latgales plānošanas reģionam lielāko finansējuma apjomu (sk. attēlu zemāk).</w:t>
      </w:r>
    </w:p>
    <w:p w14:paraId="165D0A0D">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654675" cy="2524760"/>
            <wp:effectExtent l="0" t="0" r="3175" b="8890"/>
            <wp:docPr id="20998471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27F567">
      <w:pPr>
        <w:jc w:val="both"/>
        <w:rPr>
          <w:rFonts w:ascii="Times New Roman" w:hAnsi="Times New Roman" w:cs="Times New Roman"/>
          <w:sz w:val="20"/>
          <w:szCs w:val="20"/>
        </w:rPr>
      </w:pPr>
      <w:r>
        <w:rPr>
          <w:rFonts w:ascii="Times New Roman" w:hAnsi="Times New Roman" w:cs="Times New Roman"/>
          <w:sz w:val="20"/>
          <w:szCs w:val="20"/>
        </w:rPr>
        <w:t>5.attēls. Plānošanas reģioniem noteiktais ES fondu finansējums saskaņā ar teritoriālo pieeju</w:t>
      </w:r>
      <w:r>
        <w:rPr>
          <w:rStyle w:val="20"/>
          <w:rFonts w:ascii="Times New Roman" w:hAnsi="Times New Roman" w:cs="Times New Roman"/>
          <w:sz w:val="20"/>
          <w:szCs w:val="20"/>
        </w:rPr>
        <w:footnoteReference w:id="22"/>
      </w:r>
      <w:r>
        <w:rPr>
          <w:rFonts w:ascii="Times New Roman" w:hAnsi="Times New Roman" w:cs="Times New Roman"/>
          <w:sz w:val="20"/>
          <w:szCs w:val="20"/>
        </w:rPr>
        <w:t xml:space="preserve">, (kopā 363,59 milj. </w:t>
      </w:r>
      <w:r>
        <w:rPr>
          <w:rFonts w:ascii="Times New Roman" w:hAnsi="Times New Roman" w:cs="Times New Roman"/>
          <w:i/>
          <w:sz w:val="20"/>
          <w:szCs w:val="20"/>
        </w:rPr>
        <w:t>euro</w:t>
      </w:r>
      <w:r>
        <w:rPr>
          <w:rFonts w:ascii="Times New Roman" w:hAnsi="Times New Roman" w:cs="Times New Roman"/>
          <w:sz w:val="20"/>
          <w:szCs w:val="20"/>
        </w:rPr>
        <w:t xml:space="preserve">), milj. </w:t>
      </w:r>
      <w:r>
        <w:rPr>
          <w:rFonts w:ascii="Times New Roman" w:hAnsi="Times New Roman" w:cs="Times New Roman"/>
          <w:i/>
          <w:sz w:val="20"/>
          <w:szCs w:val="20"/>
        </w:rPr>
        <w:t>euro</w:t>
      </w:r>
      <w:r>
        <w:rPr>
          <w:rFonts w:ascii="Times New Roman" w:hAnsi="Times New Roman" w:cs="Times New Roman"/>
          <w:sz w:val="20"/>
          <w:szCs w:val="20"/>
        </w:rPr>
        <w:t>.</w:t>
      </w:r>
    </w:p>
    <w:p w14:paraId="4DA8825F">
      <w:pPr>
        <w:jc w:val="both"/>
        <w:rPr>
          <w:rFonts w:ascii="Times New Roman" w:hAnsi="Times New Roman" w:cs="Times New Roman"/>
          <w:sz w:val="24"/>
          <w:szCs w:val="24"/>
        </w:rPr>
      </w:pPr>
      <w:r>
        <w:rPr>
          <w:rFonts w:ascii="Times New Roman" w:hAnsi="Times New Roman" w:cs="Times New Roman"/>
          <w:sz w:val="24"/>
          <w:szCs w:val="24"/>
        </w:rPr>
        <w:t xml:space="preserve">Plāna 3.pielikumā papildus norādīti pasākumi, kuriem pašlaik finansējums nav paredzēts, un attiecīgi nepieciešami līdzekļi 156 696 926 </w:t>
      </w:r>
      <w:r>
        <w:rPr>
          <w:rFonts w:ascii="Times New Roman" w:hAnsi="Times New Roman" w:cs="Times New Roman"/>
          <w:i/>
          <w:iCs/>
          <w:sz w:val="24"/>
          <w:szCs w:val="24"/>
        </w:rPr>
        <w:t>euro</w:t>
      </w:r>
      <w:r>
        <w:rPr>
          <w:rFonts w:ascii="Times New Roman" w:hAnsi="Times New Roman" w:cs="Times New Roman"/>
          <w:sz w:val="24"/>
          <w:szCs w:val="24"/>
        </w:rPr>
        <w:t xml:space="preserve"> apmērā, kas būtu piesaistāmi ES fondu 2021.-2027.gadam vidusposma izvērtējuma procesā vai valsts budžeta ietvarā.</w:t>
      </w:r>
    </w:p>
    <w:p w14:paraId="10058E10">
      <w:pPr>
        <w:spacing w:line="240" w:lineRule="auto"/>
        <w:jc w:val="both"/>
        <w:rPr>
          <w:rFonts w:ascii="Times New Roman" w:hAnsi="Times New Roman" w:cs="Times New Roman"/>
          <w:sz w:val="24"/>
          <w:szCs w:val="24"/>
        </w:rPr>
        <w:sectPr>
          <w:headerReference r:id="rId5" w:type="first"/>
          <w:footerReference r:id="rId7" w:type="first"/>
          <w:footerReference r:id="rId6" w:type="default"/>
          <w:pgSz w:w="11906" w:h="16838"/>
          <w:pgMar w:top="1134" w:right="1134" w:bottom="1134" w:left="1134" w:header="709" w:footer="709" w:gutter="0"/>
          <w:cols w:space="708" w:num="1"/>
          <w:titlePg/>
          <w:docGrid w:linePitch="360" w:charSpace="0"/>
        </w:sectPr>
      </w:pPr>
      <w:r>
        <w:rPr>
          <w:rFonts w:ascii="Times New Roman" w:hAnsi="Times New Roman" w:cs="Times New Roman"/>
          <w:sz w:val="24"/>
          <w:szCs w:val="24"/>
        </w:rPr>
        <w:t>Plānā paredzētie pasākumi, kas kvalificējas kā komercdarbības atbalsts, tiks ieviesti, piemērojot attiecīgo komercdarbības atbalsta regulējumu, kā arī ievērojot nosacījumus, kas izriet no attiecīgā regulējuma tiesiskā ietvara.</w:t>
      </w:r>
    </w:p>
    <w:p w14:paraId="629E24E8">
      <w:pPr>
        <w:pStyle w:val="2"/>
        <w:numPr>
          <w:ilvl w:val="0"/>
          <w:numId w:val="7"/>
        </w:numPr>
        <w:rPr>
          <w:rFonts w:cs="Times New Roman"/>
          <w:b w:val="0"/>
          <w:sz w:val="24"/>
          <w:szCs w:val="24"/>
        </w:rPr>
      </w:pPr>
      <w:bookmarkStart w:id="20" w:name="_Toc256000042"/>
      <w:bookmarkStart w:id="21" w:name="_Toc180574013"/>
      <w:bookmarkStart w:id="22" w:name="_Toc496616172"/>
      <w:bookmarkStart w:id="23" w:name="_Toc151111809"/>
      <w:bookmarkStart w:id="24" w:name="_Toc256000020"/>
      <w:bookmarkStart w:id="25" w:name="_Hlk168262766"/>
      <w:r>
        <w:rPr>
          <w:rFonts w:cs="Times New Roman"/>
        </w:rPr>
        <w:t>Pasākumi izvirzītā mērķa sasniegšanai, darbības rezultāti un to rezultatīvie rādītāji</w:t>
      </w:r>
      <w:bookmarkEnd w:id="20"/>
      <w:bookmarkEnd w:id="21"/>
      <w:bookmarkEnd w:id="22"/>
      <w:bookmarkEnd w:id="23"/>
      <w:bookmarkEnd w:id="24"/>
      <w:r>
        <w:rPr>
          <w:rFonts w:cs="Times New Roman"/>
        </w:rPr>
        <w:t xml:space="preserve"> </w:t>
      </w:r>
      <w:r>
        <w:rPr>
          <w:rStyle w:val="20"/>
          <w:rFonts w:cs="Times New Roman"/>
          <w:bCs/>
          <w:sz w:val="24"/>
          <w:szCs w:val="24"/>
        </w:rPr>
        <w:footnoteReference w:id="23"/>
      </w:r>
    </w:p>
    <w:tbl>
      <w:tblPr>
        <w:tblStyle w:val="12"/>
        <w:tblW w:w="15459" w:type="dxa"/>
        <w:jc w:val="center"/>
        <w:tblLayout w:type="fixed"/>
        <w:tblCellMar>
          <w:top w:w="0" w:type="dxa"/>
          <w:left w:w="10" w:type="dxa"/>
          <w:bottom w:w="0" w:type="dxa"/>
          <w:right w:w="10" w:type="dxa"/>
        </w:tblCellMar>
      </w:tblPr>
      <w:tblGrid>
        <w:gridCol w:w="660"/>
        <w:gridCol w:w="3532"/>
        <w:gridCol w:w="2238"/>
        <w:gridCol w:w="2657"/>
        <w:gridCol w:w="1261"/>
        <w:gridCol w:w="1539"/>
        <w:gridCol w:w="1121"/>
        <w:gridCol w:w="2438"/>
        <w:gridCol w:w="13"/>
      </w:tblGrid>
      <w:tr w14:paraId="10E75986">
        <w:tblPrEx>
          <w:tblCellMar>
            <w:top w:w="0" w:type="dxa"/>
            <w:left w:w="10" w:type="dxa"/>
            <w:bottom w:w="0" w:type="dxa"/>
            <w:right w:w="10" w:type="dxa"/>
          </w:tblCellMar>
        </w:tblPrEx>
        <w:trPr>
          <w:jc w:val="center"/>
        </w:trPr>
        <w:tc>
          <w:tcPr>
            <w:tcW w:w="4192"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46E90418">
            <w:pPr>
              <w:spacing w:after="120" w:line="240" w:lineRule="auto"/>
              <w:rPr>
                <w:rFonts w:ascii="Times New Roman" w:hAnsi="Times New Roman" w:cs="Times New Roman"/>
                <w:b/>
                <w:bCs/>
                <w:sz w:val="20"/>
                <w:szCs w:val="20"/>
              </w:rPr>
            </w:pPr>
            <w:r>
              <w:rPr>
                <w:rFonts w:ascii="Times New Roman" w:hAnsi="Times New Roman" w:cs="Times New Roman"/>
                <w:b/>
                <w:bCs/>
                <w:sz w:val="20"/>
                <w:szCs w:val="20"/>
              </w:rPr>
              <w:t xml:space="preserve">Plāna mērķis </w:t>
            </w:r>
          </w:p>
        </w:tc>
        <w:tc>
          <w:tcPr>
            <w:tcW w:w="11267"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744EDFA9">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Latvijas Austrumu pierobežā veidot atbalsta programmas investīcijām, integrācijai, mobilitātei un dzīves kvalitātes uzlabošanai, kas tuvina reģiona ekonomisko konkurētspēju pārējiem Latvijas reģioniem, veicinot uzņēmējdarbību, stiprinot pierobežas drošību un iedzīvotāju noturību pret krīzēm.</w:t>
            </w:r>
          </w:p>
        </w:tc>
      </w:tr>
      <w:tr w14:paraId="53B06E45">
        <w:tblPrEx>
          <w:tblCellMar>
            <w:top w:w="0" w:type="dxa"/>
            <w:left w:w="10" w:type="dxa"/>
            <w:bottom w:w="0" w:type="dxa"/>
            <w:right w:w="10" w:type="dxa"/>
          </w:tblCellMar>
        </w:tblPrEx>
        <w:trPr>
          <w:jc w:val="center"/>
        </w:trPr>
        <w:tc>
          <w:tcPr>
            <w:tcW w:w="4192"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1662185D">
            <w:pPr>
              <w:spacing w:line="240" w:lineRule="auto"/>
              <w:jc w:val="both"/>
              <w:rPr>
                <w:rFonts w:ascii="Times New Roman" w:hAnsi="Times New Roman" w:cs="Times New Roman"/>
                <w:b/>
                <w:sz w:val="20"/>
                <w:szCs w:val="20"/>
              </w:rPr>
            </w:pPr>
            <w:r>
              <w:rPr>
                <w:rFonts w:ascii="Times New Roman" w:hAnsi="Times New Roman" w:cs="Times New Roman"/>
                <w:b/>
                <w:sz w:val="20"/>
                <w:szCs w:val="20"/>
              </w:rPr>
              <w:t>Politikas rezultāts/-i un rezultatīvais rādītājs/-i</w:t>
            </w:r>
          </w:p>
        </w:tc>
        <w:tc>
          <w:tcPr>
            <w:tcW w:w="11267"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4586164B">
            <w:pPr>
              <w:pStyle w:val="52"/>
              <w:numPr>
                <w:ilvl w:val="0"/>
                <w:numId w:val="11"/>
              </w:numPr>
              <w:tabs>
                <w:tab w:val="left" w:pos="2160"/>
                <w:tab w:val="left" w:pos="7329"/>
              </w:tabs>
              <w:suppressAutoHyphens/>
              <w:autoSpaceDN w:val="0"/>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Drošībai piesaistītas valsts un ES fondu investīcijas Austrumu pierobežā 111,9 milj. </w:t>
            </w:r>
            <w:r>
              <w:rPr>
                <w:rFonts w:ascii="Times New Roman" w:hAnsi="Times New Roman" w:cs="Times New Roman"/>
                <w:i/>
                <w:iCs/>
                <w:sz w:val="20"/>
                <w:szCs w:val="20"/>
              </w:rPr>
              <w:t>euro</w:t>
            </w:r>
            <w:r>
              <w:rPr>
                <w:rFonts w:ascii="Times New Roman" w:hAnsi="Times New Roman" w:cs="Times New Roman"/>
                <w:sz w:val="20"/>
                <w:szCs w:val="20"/>
              </w:rPr>
              <w:t xml:space="preserve"> apmērā</w:t>
            </w:r>
          </w:p>
          <w:p w14:paraId="6A0004AE">
            <w:pPr>
              <w:pStyle w:val="52"/>
              <w:numPr>
                <w:ilvl w:val="0"/>
                <w:numId w:val="11"/>
              </w:numPr>
              <w:tabs>
                <w:tab w:val="left" w:pos="2160"/>
                <w:tab w:val="left" w:pos="7329"/>
              </w:tabs>
              <w:suppressAutoHyphens/>
              <w:autoSpaceDN w:val="0"/>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Drošības jomā radītas vairāk kā 100 darbavietas vietējiem iedzīvotājiem </w:t>
            </w:r>
          </w:p>
          <w:p w14:paraId="4C4D617B">
            <w:pPr>
              <w:pStyle w:val="52"/>
              <w:numPr>
                <w:ilvl w:val="0"/>
                <w:numId w:val="11"/>
              </w:numPr>
              <w:tabs>
                <w:tab w:val="left" w:pos="2160"/>
                <w:tab w:val="left" w:pos="7329"/>
              </w:tabs>
              <w:suppressAutoHyphens/>
              <w:autoSpaceDN w:val="0"/>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Radītas vismaz 712 jaunas darba vietas </w:t>
            </w:r>
          </w:p>
          <w:p w14:paraId="4FA18047">
            <w:pPr>
              <w:pStyle w:val="52"/>
              <w:numPr>
                <w:ilvl w:val="0"/>
                <w:numId w:val="11"/>
              </w:numPr>
              <w:tabs>
                <w:tab w:val="left" w:pos="2160"/>
                <w:tab w:val="left" w:pos="7329"/>
              </w:tabs>
              <w:suppressAutoHyphens/>
              <w:autoSpaceDN w:val="0"/>
              <w:spacing w:after="120" w:line="240" w:lineRule="auto"/>
              <w:jc w:val="both"/>
              <w:rPr>
                <w:rFonts w:ascii="Times New Roman" w:hAnsi="Times New Roman" w:cs="Times New Roman"/>
                <w:sz w:val="20"/>
                <w:szCs w:val="20"/>
              </w:rPr>
            </w:pPr>
            <w:r>
              <w:rPr>
                <w:rFonts w:ascii="Times New Roman" w:hAnsi="Times New Roman" w:cs="Times New Roman"/>
                <w:sz w:val="20"/>
                <w:szCs w:val="20"/>
              </w:rPr>
              <w:t>Piesaistītās privātās investīcijas vismaz 56,9 milj. </w:t>
            </w:r>
            <w:r>
              <w:rPr>
                <w:rFonts w:ascii="Times New Roman" w:hAnsi="Times New Roman" w:cs="Times New Roman"/>
                <w:i/>
                <w:iCs/>
                <w:sz w:val="20"/>
                <w:szCs w:val="20"/>
              </w:rPr>
              <w:t>euro</w:t>
            </w:r>
            <w:r>
              <w:rPr>
                <w:rFonts w:ascii="Times New Roman" w:hAnsi="Times New Roman" w:cs="Times New Roman"/>
                <w:sz w:val="20"/>
                <w:szCs w:val="20"/>
              </w:rPr>
              <w:t xml:space="preserve"> apmērā</w:t>
            </w:r>
          </w:p>
          <w:p w14:paraId="03399908">
            <w:pPr>
              <w:pStyle w:val="52"/>
              <w:numPr>
                <w:ilvl w:val="0"/>
                <w:numId w:val="11"/>
              </w:numPr>
              <w:tabs>
                <w:tab w:val="left" w:pos="2160"/>
                <w:tab w:val="left" w:pos="7329"/>
              </w:tabs>
              <w:suppressAutoHyphens/>
              <w:autoSpaceDN w:val="0"/>
              <w:spacing w:after="120" w:line="240" w:lineRule="auto"/>
              <w:jc w:val="both"/>
              <w:rPr>
                <w:rFonts w:ascii="Times New Roman" w:hAnsi="Times New Roman" w:cs="Times New Roman"/>
                <w:sz w:val="20"/>
                <w:szCs w:val="20"/>
              </w:rPr>
            </w:pPr>
            <w:r>
              <w:rPr>
                <w:rFonts w:ascii="Times New Roman" w:hAnsi="Times New Roman" w:cs="Times New Roman"/>
                <w:sz w:val="20"/>
                <w:szCs w:val="20"/>
              </w:rPr>
              <w:t>Iedzīvotāju skaita krituma gadā samazināšana no 2% uz 1,5%</w:t>
            </w:r>
            <w:r>
              <w:rPr>
                <w:rStyle w:val="20"/>
                <w:rFonts w:ascii="Times New Roman" w:hAnsi="Times New Roman" w:cs="Times New Roman"/>
                <w:sz w:val="20"/>
                <w:szCs w:val="20"/>
              </w:rPr>
              <w:footnoteReference w:id="24"/>
            </w:r>
          </w:p>
        </w:tc>
      </w:tr>
      <w:tr w14:paraId="4C8DADA9">
        <w:tblPrEx>
          <w:tblCellMar>
            <w:top w:w="0" w:type="dxa"/>
            <w:left w:w="10" w:type="dxa"/>
            <w:bottom w:w="0" w:type="dxa"/>
            <w:right w:w="10" w:type="dxa"/>
          </w:tblCellMar>
        </w:tblPrEx>
        <w:trPr>
          <w:jc w:val="center"/>
        </w:trPr>
        <w:tc>
          <w:tcPr>
            <w:tcW w:w="15459" w:type="dxa"/>
            <w:gridSpan w:val="9"/>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3B9C04B5">
            <w:pPr>
              <w:pStyle w:val="52"/>
              <w:numPr>
                <w:ilvl w:val="0"/>
                <w:numId w:val="12"/>
              </w:numPr>
              <w:spacing w:line="240" w:lineRule="auto"/>
              <w:jc w:val="both"/>
              <w:rPr>
                <w:rFonts w:ascii="Times New Roman" w:hAnsi="Times New Roman" w:eastAsia="Times New Roman" w:cs="Times New Roman"/>
                <w:b/>
                <w:bCs/>
                <w:sz w:val="20"/>
                <w:szCs w:val="20"/>
              </w:rPr>
            </w:pPr>
            <w:r>
              <w:rPr>
                <w:rFonts w:ascii="Times New Roman" w:hAnsi="Times New Roman" w:cs="Times New Roman"/>
                <w:b/>
                <w:bCs/>
                <w:sz w:val="20"/>
                <w:szCs w:val="20"/>
              </w:rPr>
              <w:t>Rīcības virziens</w:t>
            </w:r>
            <w:r>
              <w:rPr>
                <w:rFonts w:ascii="Times New Roman" w:hAnsi="Times New Roman" w:eastAsia="Times New Roman" w:cs="Times New Roman"/>
                <w:b/>
                <w:bCs/>
                <w:sz w:val="20"/>
                <w:szCs w:val="20"/>
              </w:rPr>
              <w:t xml:space="preserve"> – drošības stiprināšana</w:t>
            </w:r>
          </w:p>
          <w:p w14:paraId="6B6D5F81">
            <w:pPr>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Ņemot vērā Krievijas pilna apmēra agresijas kara pret Ukrainu ietekmi uz ES valstīm, kas robežojas ar agresorvalstīm, plānojot Austrumu pierobežas attīstību, jāparedz pasākumi iekšējās un ārējās drošības stiprināšanai.</w:t>
            </w:r>
          </w:p>
          <w:p w14:paraId="5DF5CA34">
            <w:pPr>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Papildus divējādas lietojamības risinājumu īstenošanai plānā paredzēta 6 militārās infrastruktūras (bāzes/poligonu) attīstība Latgalē; aizsardzības industrijas attīstība Latgalē, t.sk. attiecībā uz divējādā lietojuma precēm; ietverts Latvijas Austrumu robežas pretmobilitātes plāns, izveidojot pretmobilitātes materiālu parkus 25 vietās un nodrošinot vairāk kā 100 darba vietas vietējiem iedzīvotājiem; kā viena no rīcībām ietverta 550 jauniesaukto VAD karavīru izvietošana Latgalē.</w:t>
            </w:r>
          </w:p>
          <w:p w14:paraId="395B0DEC">
            <w:pPr>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Attiecībā uz iekšējās drošības stiprināšanu Austrumu pierobežā tiks izbūvēti 7 jauni katastrofas pārvaldīšanas centri.</w:t>
            </w:r>
          </w:p>
          <w:p w14:paraId="7531F930">
            <w:pPr>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Visbeidzot, drošības jomā plānā paredzētas rīcības, kas ir papildinošas ārējo un iekšējo drošību veicinošajām rīcībām. T.sk. ietverta informatīvās telpas stiprināšana Austrumu pierobežā, palielinot sabiedrisko mediju klātbūtni Latgalē. Latvijas mediju nozarei ir stratēģiska nozīme nacionālās drošības un Latvijas kultūrtelpas uzturēšanā un saglabāšanā, kvalitatīva un demokrātijas vērtībām atbilstoša mediju satura piedāvāšanā, ņemot vērā Latvijas sabiedrības intereses un spēcinot latviešu valodu Latvijas kultūras un sabiedriski politiskajā vidē. Par vislabāko ieroci pret dezinformāciju ir uzskatāmi neatkarīgi mediji, profesionāla žurnālistika un kritiski domājoša sabiedrība.</w:t>
            </w:r>
          </w:p>
          <w:p w14:paraId="19319A34">
            <w:pPr>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Plāns ietver arī kompleksas programmas izstrādi un ieviešanu Latgales reģionā, kas vērsta uz NVO sektora spēcināšanu un nodrošinātu Latgales NVO darbības nepārtrauktību, kā arī veicinātu sadarbību gan starp dažādu jomu, gan dažādu novadu un reģionu NVO. Latgales NVO un pilsoniskās sabiedrības stiprināšana sekmēs Latgales reģiona sabiedrības noturību un pilsoniskās sabiedrības organizāciju attīstību.</w:t>
            </w:r>
          </w:p>
          <w:p w14:paraId="1EF588CC">
            <w:pPr>
              <w:spacing w:line="240" w:lineRule="auto"/>
              <w:jc w:val="both"/>
              <w:rPr>
                <w:rFonts w:ascii="Times New Roman" w:hAnsi="Times New Roman" w:eastAsia="Times New Roman" w:cs="Times New Roman"/>
                <w:b/>
                <w:bCs/>
                <w:sz w:val="20"/>
                <w:szCs w:val="20"/>
              </w:rPr>
            </w:pPr>
            <w:r>
              <w:rPr>
                <w:rFonts w:ascii="Times New Roman" w:hAnsi="Times New Roman" w:eastAsia="Times New Roman" w:cs="Times New Roman"/>
                <w:sz w:val="20"/>
                <w:szCs w:val="20"/>
              </w:rPr>
              <w:t>Skatoties plašākā perspektīvā, paredzēts starptautiskos forumos iestāties par Austrumu pierobežas stiprināšanas jautājuma kā visas ES drošības jautājumu un papildus finansējuma piesaistīšanu specifiski ES Austrumu pierobežas valstīm un reģioniem, kas robežojas ar Krieviju un/vai Baltkrieviju, Eiropas Savienības daudzgadu budžeta ietvarā pēc 2027.gada. Kā liecina OECD, EK un Pasaules Bankas aktivitātes, kas aprakstītas plāna ievadā, jautājumu jau ir izdevies aktualizēt starptautiskā mērogā.</w:t>
            </w:r>
          </w:p>
        </w:tc>
      </w:tr>
      <w:tr w14:paraId="5457539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724C0508">
            <w:pPr>
              <w:spacing w:after="120" w:line="240" w:lineRule="auto"/>
              <w:jc w:val="center"/>
              <w:rPr>
                <w:rFonts w:ascii="Times New Roman" w:hAnsi="Times New Roman" w:cs="Times New Roman"/>
                <w:b/>
                <w:sz w:val="20"/>
                <w:szCs w:val="20"/>
              </w:rPr>
            </w:pPr>
            <w:bookmarkStart w:id="26" w:name="_Hlk181097134"/>
            <w:r>
              <w:rPr>
                <w:rFonts w:ascii="Times New Roman" w:hAnsi="Times New Roman" w:cs="Times New Roman"/>
                <w:b/>
                <w:sz w:val="20"/>
                <w:szCs w:val="20"/>
              </w:rPr>
              <w:t>Nr. p.k.</w:t>
            </w:r>
          </w:p>
        </w:tc>
        <w:tc>
          <w:tcPr>
            <w:tcW w:w="3532"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6969FF89">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Pasākums</w:t>
            </w:r>
          </w:p>
        </w:tc>
        <w:tc>
          <w:tcPr>
            <w:tcW w:w="22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227D1FE2">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Darbības rezultāts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353CF745">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Rezultatīvais rādītājs</w:t>
            </w:r>
            <w:r>
              <w:rPr>
                <w:rStyle w:val="20"/>
                <w:rFonts w:ascii="Times New Roman" w:hAnsi="Times New Roman" w:cs="Times New Roman"/>
                <w:b/>
                <w:sz w:val="20"/>
                <w:szCs w:val="20"/>
              </w:rPr>
              <w:footnoteReference w:id="25"/>
            </w:r>
          </w:p>
        </w:tc>
        <w:tc>
          <w:tcPr>
            <w:tcW w:w="1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7EE6E78E">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Atbildīgā institūcija</w:t>
            </w:r>
          </w:p>
        </w:tc>
        <w:tc>
          <w:tcPr>
            <w:tcW w:w="1539"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7B4E3C73">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Līdzatbildīgās institūcijas</w:t>
            </w:r>
          </w:p>
        </w:tc>
        <w:tc>
          <w:tcPr>
            <w:tcW w:w="112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03721060">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Izpildes termiņš</w:t>
            </w:r>
          </w:p>
        </w:tc>
        <w:tc>
          <w:tcPr>
            <w:tcW w:w="2451" w:type="dxa"/>
            <w:gridSpan w:val="2"/>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49EAEB72">
            <w:pPr>
              <w:spacing w:after="120" w:line="240" w:lineRule="auto"/>
              <w:jc w:val="center"/>
              <w:rPr>
                <w:rFonts w:ascii="Times New Roman" w:hAnsi="Times New Roman" w:cs="Times New Roman"/>
                <w:b/>
                <w:sz w:val="20"/>
                <w:szCs w:val="20"/>
              </w:rPr>
            </w:pPr>
            <w:r>
              <w:rPr>
                <w:rFonts w:ascii="Times New Roman" w:hAnsi="Times New Roman" w:cs="Times New Roman"/>
                <w:b/>
                <w:bCs/>
                <w:sz w:val="20"/>
                <w:szCs w:val="20"/>
              </w:rPr>
              <w:t>Finansējums</w:t>
            </w:r>
          </w:p>
        </w:tc>
      </w:tr>
      <w:bookmarkEnd w:id="26"/>
      <w:tr w14:paraId="2DDDB1FD">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352DFC1B">
            <w:pPr>
              <w:pStyle w:val="52"/>
              <w:numPr>
                <w:ilvl w:val="1"/>
                <w:numId w:val="13"/>
              </w:numPr>
              <w:spacing w:after="120" w:line="240" w:lineRule="auto"/>
              <w:ind w:left="0" w:firstLine="0"/>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02D5925">
            <w:pPr>
              <w:pStyle w:val="15"/>
              <w:spacing w:after="120"/>
              <w:rPr>
                <w:rFonts w:ascii="Times New Roman" w:hAnsi="Times New Roman" w:cs="Times New Roman"/>
              </w:rPr>
            </w:pPr>
            <w:r>
              <w:rPr>
                <w:rFonts w:ascii="Times New Roman" w:hAnsi="Times New Roman" w:cs="Times New Roman"/>
              </w:rPr>
              <w:t>Informatīvā telpa Austrumu pierobežā:</w:t>
            </w:r>
          </w:p>
          <w:p w14:paraId="26C1C945">
            <w:pPr>
              <w:spacing w:line="240" w:lineRule="auto"/>
              <w:jc w:val="both"/>
              <w:rPr>
                <w:rFonts w:ascii="Times New Roman" w:hAnsi="Times New Roman" w:cs="Times New Roman"/>
                <w:sz w:val="20"/>
                <w:szCs w:val="20"/>
              </w:rPr>
            </w:pPr>
            <w:r>
              <w:rPr>
                <w:rFonts w:ascii="Times New Roman" w:hAnsi="Times New Roman" w:cs="Times New Roman"/>
                <w:sz w:val="20"/>
                <w:szCs w:val="20"/>
              </w:rPr>
              <w:t>Lai sekmētu iedzīvotāju noturību pret manipulācijām informatīvajā telpā, kā arī veicinātu gan komerciālo mediju, gan sabiedrisko mediju sasniedzamību, nepieciešams:</w:t>
            </w:r>
          </w:p>
          <w:p w14:paraId="735313F6">
            <w:pPr>
              <w:pStyle w:val="52"/>
              <w:numPr>
                <w:ilvl w:val="0"/>
                <w:numId w:val="14"/>
              </w:numPr>
              <w:spacing w:line="240" w:lineRule="auto"/>
              <w:jc w:val="both"/>
              <w:rPr>
                <w:rFonts w:ascii="Times New Roman" w:hAnsi="Times New Roman" w:cs="Times New Roman"/>
                <w:sz w:val="20"/>
                <w:szCs w:val="20"/>
              </w:rPr>
            </w:pPr>
            <w:r>
              <w:rPr>
                <w:rFonts w:ascii="Times New Roman" w:hAnsi="Times New Roman" w:cs="Times New Roman"/>
                <w:sz w:val="20"/>
                <w:szCs w:val="20"/>
              </w:rPr>
              <w:t>palielināt sabiedrisko mediju klātbūtni Latgalē;</w:t>
            </w:r>
          </w:p>
          <w:p w14:paraId="5531B189">
            <w:pPr>
              <w:pStyle w:val="52"/>
              <w:numPr>
                <w:ilvl w:val="0"/>
                <w:numId w:val="14"/>
              </w:numPr>
              <w:spacing w:after="0" w:line="240" w:lineRule="auto"/>
              <w:ind w:left="357" w:hanging="357"/>
              <w:jc w:val="both"/>
              <w:rPr>
                <w:rFonts w:ascii="Times New Roman" w:hAnsi="Times New Roman" w:cs="Times New Roman"/>
                <w:sz w:val="20"/>
                <w:szCs w:val="20"/>
              </w:rPr>
            </w:pPr>
            <w:r>
              <w:rPr>
                <w:rFonts w:ascii="Times New Roman" w:hAnsi="Times New Roman" w:cs="Times New Roman"/>
                <w:sz w:val="20"/>
                <w:szCs w:val="20"/>
              </w:rPr>
              <w:t>atbalsts un sadarbība ar Latgales medijiem un NVO</w:t>
            </w:r>
            <w:r>
              <w:rPr>
                <w:rStyle w:val="20"/>
                <w:rFonts w:ascii="Times New Roman" w:hAnsi="Times New Roman" w:cs="Times New Roman"/>
                <w:sz w:val="20"/>
                <w:szCs w:val="20"/>
              </w:rPr>
              <w:footnoteReference w:id="26"/>
            </w:r>
            <w:r>
              <w:rPr>
                <w:rFonts w:ascii="Times New Roman" w:hAnsi="Times New Roman" w:cs="Times New Roman"/>
                <w:sz w:val="20"/>
                <w:szCs w:val="20"/>
              </w:rPr>
              <w:t>;</w:t>
            </w:r>
          </w:p>
          <w:p w14:paraId="6E74C7A2">
            <w:pPr>
              <w:pStyle w:val="52"/>
              <w:numPr>
                <w:ilvl w:val="0"/>
                <w:numId w:val="14"/>
              </w:numPr>
              <w:spacing w:after="0" w:line="240" w:lineRule="auto"/>
              <w:ind w:left="357" w:hanging="357"/>
              <w:jc w:val="both"/>
              <w:rPr>
                <w:rFonts w:ascii="Times New Roman" w:hAnsi="Times New Roman" w:cs="Times New Roman"/>
                <w:sz w:val="18"/>
                <w:szCs w:val="18"/>
              </w:rPr>
            </w:pPr>
            <w:r>
              <w:rPr>
                <w:rFonts w:ascii="Times New Roman" w:hAnsi="Times New Roman" w:cs="Times New Roman"/>
                <w:sz w:val="20"/>
                <w:szCs w:val="20"/>
              </w:rPr>
              <w:t>veidot ciešāku sadarbību ar pierobežas pašvaldībām: izveidots regulārs tikšanās formāts ar pierobežas pašvaldībām un pilsētām (Rēzeknes novads, Rēzeknes valstspilsēta,  Alūksnes novads, Augšdaugavas novads, Līvānu novads, Balvu novads, Daugavpils valstspilsēta, Krāslavas novads, Ludzas novads, Preiļu novads)</w:t>
            </w:r>
          </w:p>
          <w:p w14:paraId="111B7D27">
            <w:pPr>
              <w:spacing w:after="0" w:line="240" w:lineRule="auto"/>
              <w:jc w:val="both"/>
              <w:rPr>
                <w:rFonts w:ascii="Times New Roman" w:hAnsi="Times New Roman" w:cs="Times New Roman"/>
                <w:sz w:val="20"/>
                <w:szCs w:val="20"/>
              </w:rPr>
            </w:pPr>
          </w:p>
          <w:p w14:paraId="669CF8D6">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Daļai sākotnēji pieteiktā pasākuma apjoma finansējums pašlaik nav piešķirts, attiecīgi, tās pasākuma daļas norādītas 3.pielikumā.</w:t>
            </w:r>
          </w:p>
        </w:tc>
        <w:tc>
          <w:tcPr>
            <w:tcW w:w="2238" w:type="dxa"/>
            <w:tcBorders>
              <w:top w:val="single" w:color="auto" w:sz="4" w:space="0"/>
              <w:left w:val="single" w:color="auto"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F03285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 Palielināts veidotā satura apjoms par notikumiem Latgalē;</w:t>
            </w:r>
          </w:p>
          <w:p w14:paraId="27309D4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  stiprināta Latgales un Austrumu pierobežas informatīvā telpa.</w:t>
            </w:r>
          </w:p>
          <w:p w14:paraId="0F0F762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Veicināta Latgales reģionā dzīvojošo viedokļu līderu un iedzīvotāju izpratne un informētība par aizsardzības nozares aktualitātēm.</w:t>
            </w:r>
          </w:p>
          <w:p w14:paraId="5F35891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 Sadarbības, diskusiju un dialoga  veicināšana ar pierobežas pašvaldībām, lai sekmētu informētību par aizsardzības nozares aktualitātēm.</w:t>
            </w:r>
          </w:p>
          <w:p w14:paraId="23D84085">
            <w:pPr>
              <w:spacing w:after="120" w:line="240" w:lineRule="auto"/>
              <w:jc w:val="both"/>
              <w:rPr>
                <w:rFonts w:ascii="Times New Roman" w:hAnsi="Times New Roman" w:cs="Times New Roman"/>
                <w:sz w:val="20"/>
                <w:szCs w:val="20"/>
              </w:rPr>
            </w:pP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A30050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tiek īstenots tikai Austrumu pierobežā, rezultāti:</w:t>
            </w:r>
          </w:p>
          <w:p w14:paraId="5F3CFDA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 Palielināts Latvijas Sabiedriskā medija multimediāla satura apjoms Latgalē un par Latgali.*</w:t>
            </w:r>
          </w:p>
          <w:p w14:paraId="41DB1CD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 Katru gadu īstenotas aktivitātes (publiski pasākumi, semināri u.c.), kas uzlabo sabiedrības informētību un izglītību.*</w:t>
            </w:r>
          </w:p>
          <w:p w14:paraId="0DEF7BD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Regulāri sadarbojoties ar medijiem un NVO, stiprināta informatīvā telpa.*</w:t>
            </w:r>
          </w:p>
          <w:p w14:paraId="376FB9D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Visaptverošas valsts aizsardzības (turpmāk – VVA) reģionālo semināru cikli – 3-4 pasākumi gadā Latvijas reģionos.*</w:t>
            </w:r>
          </w:p>
          <w:p w14:paraId="5439E7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 Regulārs (vairākas reizes gadā) tikšanās formāts ar pierobežas pašvaldībām, lai nodrošinātu sadarbību un informācijas apmaiņu.*</w:t>
            </w:r>
          </w:p>
          <w:p w14:paraId="4C84CDA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 Izveidota Latvijas Sabiedriskā medija multimediāla studija Daugavpilī**</w:t>
            </w:r>
          </w:p>
          <w:p w14:paraId="1DD2D1E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(2)-(3):</w:t>
            </w:r>
          </w:p>
          <w:p w14:paraId="3BCBF21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50% sabiedrības uzticas sabiedriskajiem medijiem**</w:t>
            </w:r>
          </w:p>
          <w:p w14:paraId="1A12843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35% pārbauda, ar ko dalās sociālajos medijos / pārliecinās par informācijas avotu uzticamību**</w:t>
            </w:r>
          </w:p>
          <w:p w14:paraId="536800FC">
            <w:pPr>
              <w:spacing w:after="120" w:line="240" w:lineRule="auto"/>
              <w:jc w:val="both"/>
              <w:rPr>
                <w:rFonts w:ascii="Times New Roman" w:hAnsi="Times New Roman" w:cs="Times New Roman"/>
                <w:sz w:val="20"/>
                <w:szCs w:val="20"/>
                <w:highlight w:val="cyan"/>
              </w:rPr>
            </w:pPr>
            <w:r>
              <w:rPr>
                <w:rFonts w:ascii="Times New Roman" w:hAnsi="Times New Roman" w:cs="Times New Roman"/>
                <w:sz w:val="20"/>
                <w:szCs w:val="20"/>
              </w:rPr>
              <w:t>50% sabiedrības uzticas komerciālajiem medijiem**</w:t>
            </w:r>
          </w:p>
        </w:tc>
        <w:tc>
          <w:tcPr>
            <w:tcW w:w="1261" w:type="dxa"/>
            <w:tcBorders>
              <w:top w:val="single" w:color="auto"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57FAA1CE">
            <w:pPr>
              <w:spacing w:line="240" w:lineRule="auto"/>
              <w:rPr>
                <w:rFonts w:ascii="Times New Roman" w:hAnsi="Times New Roman" w:cs="Times New Roman"/>
                <w:sz w:val="20"/>
                <w:szCs w:val="20"/>
              </w:rPr>
            </w:pPr>
            <w:r>
              <w:rPr>
                <w:rFonts w:ascii="Times New Roman" w:hAnsi="Times New Roman" w:cs="Times New Roman"/>
                <w:sz w:val="20"/>
                <w:szCs w:val="20"/>
              </w:rPr>
              <w:t xml:space="preserve">KM, AiM, VK </w:t>
            </w:r>
          </w:p>
          <w:p w14:paraId="451E4902">
            <w:pPr>
              <w:spacing w:after="120" w:line="240" w:lineRule="auto"/>
              <w:jc w:val="center"/>
              <w:rPr>
                <w:rFonts w:ascii="Times New Roman" w:hAnsi="Times New Roman" w:cs="Times New Roman"/>
                <w:bCs/>
                <w:sz w:val="20"/>
                <w:szCs w:val="20"/>
              </w:rPr>
            </w:pP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5E39E28">
            <w:pPr>
              <w:spacing w:after="120" w:line="240" w:lineRule="auto"/>
              <w:jc w:val="center"/>
              <w:rPr>
                <w:rFonts w:ascii="Times New Roman" w:hAnsi="Times New Roman" w:eastAsia="Times New Roman" w:cs="Times New Roman"/>
                <w:b/>
                <w:bCs/>
                <w:sz w:val="20"/>
                <w:szCs w:val="20"/>
              </w:rPr>
            </w:pPr>
            <w:r>
              <w:rPr>
                <w:rFonts w:ascii="Times New Roman" w:hAnsi="Times New Roman" w:cs="Times New Roman"/>
                <w:sz w:val="20"/>
                <w:szCs w:val="20"/>
              </w:rPr>
              <w:t>IZM, LPA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837227E">
            <w:pPr>
              <w:spacing w:after="12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633444A">
            <w:pPr>
              <w:spacing w:after="120" w:line="240" w:lineRule="auto"/>
              <w:rPr>
                <w:rFonts w:ascii="Times New Roman" w:hAnsi="Times New Roman" w:cs="Times New Roman"/>
                <w:sz w:val="20"/>
                <w:szCs w:val="20"/>
              </w:rPr>
            </w:pPr>
            <w:r>
              <w:rPr>
                <w:rFonts w:ascii="Times New Roman" w:hAnsi="Times New Roman" w:cs="Times New Roman"/>
                <w:sz w:val="20"/>
                <w:szCs w:val="20"/>
              </w:rPr>
              <w:t>Pasākuma, kas tiek īstenots tikai Austrumu pierobežā, finansējums:</w:t>
            </w:r>
          </w:p>
          <w:p w14:paraId="27CFC94A">
            <w:pPr>
              <w:spacing w:line="240" w:lineRule="auto"/>
              <w:rPr>
                <w:rFonts w:ascii="Times New Roman" w:hAnsi="Times New Roman" w:cs="Times New Roman"/>
                <w:sz w:val="20"/>
                <w:szCs w:val="20"/>
              </w:rPr>
            </w:pPr>
            <w:r>
              <w:rPr>
                <w:rFonts w:ascii="Times New Roman" w:hAnsi="Times New Roman" w:cs="Times New Roman"/>
                <w:sz w:val="20"/>
                <w:szCs w:val="20"/>
              </w:rPr>
              <w:t xml:space="preserve">1. punkts tiks īstenots KM esošā budžeta ietvaros – 2025.gadā 350 000 </w:t>
            </w:r>
            <w:r>
              <w:rPr>
                <w:rFonts w:ascii="Times New Roman" w:hAnsi="Times New Roman" w:cs="Times New Roman"/>
                <w:i/>
                <w:iCs/>
                <w:sz w:val="20"/>
                <w:szCs w:val="20"/>
              </w:rPr>
              <w:t>euro</w:t>
            </w:r>
            <w:r>
              <w:rPr>
                <w:rFonts w:ascii="Times New Roman" w:hAnsi="Times New Roman" w:cs="Times New Roman"/>
                <w:sz w:val="20"/>
                <w:szCs w:val="20"/>
              </w:rPr>
              <w:t xml:space="preserve">, 2026.gadā un turpmāk – 315 000 </w:t>
            </w:r>
            <w:r>
              <w:rPr>
                <w:rFonts w:ascii="Times New Roman" w:hAnsi="Times New Roman" w:cs="Times New Roman"/>
                <w:i/>
                <w:iCs/>
                <w:sz w:val="20"/>
                <w:szCs w:val="20"/>
              </w:rPr>
              <w:t>euro</w:t>
            </w:r>
            <w:r>
              <w:rPr>
                <w:rFonts w:ascii="Times New Roman" w:hAnsi="Times New Roman" w:cs="Times New Roman"/>
                <w:sz w:val="20"/>
                <w:szCs w:val="20"/>
              </w:rPr>
              <w:t xml:space="preserve"> gadā.</w:t>
            </w:r>
          </w:p>
          <w:p w14:paraId="6969DFD7">
            <w:pPr>
              <w:spacing w:line="240" w:lineRule="auto"/>
              <w:rPr>
                <w:rFonts w:ascii="Times New Roman" w:hAnsi="Times New Roman" w:cs="Times New Roman"/>
                <w:sz w:val="20"/>
                <w:szCs w:val="20"/>
              </w:rPr>
            </w:pPr>
            <w:r>
              <w:rPr>
                <w:rFonts w:ascii="Times New Roman" w:hAnsi="Times New Roman" w:cs="Times New Roman"/>
                <w:sz w:val="20"/>
                <w:szCs w:val="20"/>
              </w:rPr>
              <w:t>Kopējais plāna perioda finansējums: 980 000 euro</w:t>
            </w:r>
          </w:p>
          <w:p w14:paraId="1DBD31A5">
            <w:pPr>
              <w:spacing w:after="120" w:line="240" w:lineRule="auto"/>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2. un 3. punkts tiks īstenots AiM esošā budžeta ietvaros.</w:t>
            </w:r>
            <w:r>
              <w:rPr>
                <w:rStyle w:val="20"/>
                <w:rFonts w:ascii="Times New Roman" w:hAnsi="Times New Roman" w:cs="Times New Roman"/>
                <w:kern w:val="0"/>
                <w:sz w:val="20"/>
                <w:szCs w:val="20"/>
                <w14:ligatures w14:val="none"/>
              </w:rPr>
              <w:footnoteReference w:id="27"/>
            </w:r>
          </w:p>
          <w:p w14:paraId="7E26480D">
            <w:pPr>
              <w:spacing w:after="120" w:line="240" w:lineRule="auto"/>
              <w:rPr>
                <w:rFonts w:ascii="Times New Roman" w:hAnsi="Times New Roman" w:cs="Times New Roman"/>
                <w:i/>
                <w:iCs/>
                <w:sz w:val="20"/>
                <w:szCs w:val="20"/>
              </w:rPr>
            </w:pPr>
            <w:r>
              <w:rPr>
                <w:rFonts w:ascii="Times New Roman" w:hAnsi="Times New Roman" w:cs="Times New Roman"/>
                <w:i/>
                <w:iCs/>
                <w:sz w:val="20"/>
                <w:szCs w:val="20"/>
              </w:rPr>
              <w:t>(Valsts budžets)</w:t>
            </w:r>
          </w:p>
          <w:p w14:paraId="1DA71502">
            <w:pPr>
              <w:spacing w:line="240" w:lineRule="auto"/>
              <w:rPr>
                <w:rFonts w:ascii="Times New Roman" w:hAnsi="Times New Roman" w:eastAsia="Times New Roman" w:cs="Times New Roman"/>
                <w:sz w:val="20"/>
                <w:szCs w:val="20"/>
              </w:rPr>
            </w:pPr>
          </w:p>
        </w:tc>
      </w:tr>
      <w:tr w14:paraId="435D4C7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2D01FC98">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0442A36">
            <w:pPr>
              <w:spacing w:line="240" w:lineRule="auto"/>
              <w:jc w:val="both"/>
              <w:rPr>
                <w:rFonts w:ascii="Times New Roman" w:hAnsi="Times New Roman" w:cs="Times New Roman"/>
                <w:sz w:val="20"/>
                <w:szCs w:val="20"/>
              </w:rPr>
            </w:pPr>
            <w:r>
              <w:rPr>
                <w:rFonts w:ascii="Times New Roman" w:hAnsi="Times New Roman" w:cs="Times New Roman"/>
                <w:sz w:val="20"/>
                <w:szCs w:val="20"/>
              </w:rPr>
              <w:t>Stratēģiskās komunikācijas aktivitātes informatīvās telpas drošības stiprināšanai:</w:t>
            </w:r>
            <w:r>
              <w:rPr>
                <w:rFonts w:ascii="Times New Roman" w:hAnsi="Times New Roman" w:cs="Times New Roman"/>
                <w:sz w:val="20"/>
                <w:szCs w:val="20"/>
              </w:rPr>
              <w:br w:type="textWrapping"/>
            </w:r>
            <w:r>
              <w:rPr>
                <w:rFonts w:ascii="Times New Roman" w:hAnsi="Times New Roman" w:cs="Times New Roman"/>
                <w:sz w:val="20"/>
                <w:szCs w:val="20"/>
              </w:rPr>
              <w:t>Ministru kabineta locekļu un augstāko amatpersonu regulāru vizīšu uz Austrumu pierobežas reģiona pašvaldībām kalendāra koordinācija;</w:t>
            </w:r>
          </w:p>
          <w:p w14:paraId="12142F0A">
            <w:pPr>
              <w:spacing w:line="240" w:lineRule="auto"/>
              <w:jc w:val="both"/>
              <w:rPr>
                <w:rFonts w:ascii="Times New Roman" w:hAnsi="Times New Roman" w:cs="Times New Roman"/>
                <w:sz w:val="20"/>
                <w:szCs w:val="20"/>
              </w:rPr>
            </w:pPr>
          </w:p>
        </w:tc>
        <w:tc>
          <w:tcPr>
            <w:tcW w:w="2238" w:type="dxa"/>
            <w:tcBorders>
              <w:top w:val="single" w:color="auto" w:sz="4" w:space="0"/>
              <w:left w:val="single" w:color="auto"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B5D48C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Aktuāls MK locekļu un augstāko valsts amatpersonu vizīšu kalendārs regulārai vizīšu īstenošanai Austrumu pierobežas reģionā</w:t>
            </w:r>
          </w:p>
          <w:p w14:paraId="34BEED30">
            <w:pPr>
              <w:spacing w:after="120" w:line="240" w:lineRule="auto"/>
              <w:jc w:val="both"/>
              <w:rPr>
                <w:rFonts w:ascii="Times New Roman" w:hAnsi="Times New Roman" w:cs="Times New Roman"/>
                <w:sz w:val="20"/>
                <w:szCs w:val="20"/>
              </w:rPr>
            </w:pP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B9E28E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tiek īstenots tikai Austrumu pierobežā, rezultāti:</w:t>
            </w:r>
          </w:p>
          <w:p w14:paraId="1D94C17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Regulāras MK locekļu un augstāko valsts amatpersonu vizītes Austrumu pierobežas reģionā (vismaz 12 gadā)*</w:t>
            </w:r>
          </w:p>
          <w:p w14:paraId="6ECE18D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Valsts augstāko amatpersonu klātbūtne un tikšanās ar vietējiem iedzīvotājiem, uzņēmējiem, pašvaldību darbiniekiem**</w:t>
            </w:r>
          </w:p>
        </w:tc>
        <w:tc>
          <w:tcPr>
            <w:tcW w:w="1261" w:type="dxa"/>
            <w:tcBorders>
              <w:top w:val="single" w:color="auto"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739BD58E">
            <w:pPr>
              <w:spacing w:after="120" w:line="240" w:lineRule="auto"/>
              <w:jc w:val="center"/>
              <w:rPr>
                <w:rFonts w:ascii="Times New Roman" w:hAnsi="Times New Roman" w:cs="Times New Roman"/>
                <w:bCs/>
                <w:sz w:val="20"/>
                <w:szCs w:val="20"/>
              </w:rPr>
            </w:pPr>
            <w:r>
              <w:rPr>
                <w:rFonts w:ascii="Times New Roman" w:hAnsi="Times New Roman" w:eastAsia="Times New Roman" w:cs="Times New Roman"/>
                <w:sz w:val="20"/>
                <w:szCs w:val="20"/>
              </w:rPr>
              <w:t>VK</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C5CA6B1">
            <w:pPr>
              <w:spacing w:after="12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sz w:val="20"/>
                <w:szCs w:val="20"/>
              </w:rPr>
              <w:t>Visas ministrijas, Saeima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973A2C0">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4378068">
            <w:pPr>
              <w:spacing w:after="120" w:line="240" w:lineRule="auto"/>
              <w:rPr>
                <w:rFonts w:ascii="Times New Roman" w:hAnsi="Times New Roman" w:cs="Times New Roman"/>
                <w:sz w:val="20"/>
                <w:szCs w:val="20"/>
              </w:rPr>
            </w:pPr>
            <w:r>
              <w:rPr>
                <w:rFonts w:ascii="Times New Roman" w:hAnsi="Times New Roman" w:cs="Times New Roman"/>
                <w:sz w:val="20"/>
                <w:szCs w:val="20"/>
              </w:rPr>
              <w:t>Pasākuma, kas tiek īstenots tikai Austrumu pierobežā, finansējums:</w:t>
            </w:r>
          </w:p>
          <w:p w14:paraId="1045FBC3">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Esošā budžeta ietvaros (katras ministrijas budžets vizītēm</w:t>
            </w:r>
            <w:r>
              <w:rPr>
                <w:rStyle w:val="20"/>
                <w:rFonts w:ascii="Times New Roman" w:hAnsi="Times New Roman" w:eastAsia="Times New Roman" w:cs="Times New Roman"/>
                <w:sz w:val="20"/>
                <w:szCs w:val="20"/>
              </w:rPr>
              <w:footnoteReference w:id="28"/>
            </w:r>
            <w:r>
              <w:rPr>
                <w:rFonts w:ascii="Times New Roman" w:hAnsi="Times New Roman" w:eastAsia="Times New Roman" w:cs="Times New Roman"/>
                <w:sz w:val="20"/>
                <w:szCs w:val="20"/>
              </w:rPr>
              <w:t>)</w:t>
            </w:r>
          </w:p>
          <w:p w14:paraId="67D8238E">
            <w:pPr>
              <w:spacing w:after="120" w:line="240" w:lineRule="auto"/>
              <w:rPr>
                <w:rFonts w:ascii="Times New Roman" w:hAnsi="Times New Roman" w:cs="Times New Roman"/>
                <w:i/>
                <w:iCs/>
                <w:sz w:val="20"/>
                <w:szCs w:val="20"/>
              </w:rPr>
            </w:pPr>
            <w:r>
              <w:rPr>
                <w:rFonts w:ascii="Times New Roman" w:hAnsi="Times New Roman" w:cs="Times New Roman"/>
                <w:i/>
                <w:iCs/>
                <w:sz w:val="20"/>
                <w:szCs w:val="20"/>
              </w:rPr>
              <w:t>(Valsts budžets)</w:t>
            </w:r>
          </w:p>
          <w:p w14:paraId="69D8F5DF">
            <w:pPr>
              <w:spacing w:line="240" w:lineRule="auto"/>
              <w:rPr>
                <w:rFonts w:ascii="Times New Roman" w:hAnsi="Times New Roman" w:eastAsia="Times New Roman" w:cs="Times New Roman"/>
                <w:sz w:val="20"/>
                <w:szCs w:val="20"/>
              </w:rPr>
            </w:pPr>
          </w:p>
        </w:tc>
      </w:tr>
      <w:tr w14:paraId="462BF45D">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6D4A827C">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E7CBD6A">
            <w:pPr>
              <w:spacing w:line="240" w:lineRule="auto"/>
              <w:rPr>
                <w:rFonts w:ascii="Times New Roman" w:hAnsi="Times New Roman" w:cs="Times New Roman"/>
                <w:sz w:val="20"/>
                <w:szCs w:val="20"/>
              </w:rPr>
            </w:pPr>
            <w:r>
              <w:rPr>
                <w:rFonts w:ascii="Times New Roman" w:hAnsi="Times New Roman" w:cs="Times New Roman"/>
                <w:sz w:val="20"/>
                <w:szCs w:val="20"/>
              </w:rPr>
              <w:t>Komunikācijas aktivitātes – krīzes vadība:</w:t>
            </w:r>
          </w:p>
          <w:p w14:paraId="727B7AC6">
            <w:pPr>
              <w:pStyle w:val="52"/>
              <w:numPr>
                <w:ilvl w:val="0"/>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Komunikācija ar Austrumu pierobežas pašvaldībām</w:t>
            </w:r>
            <w:r>
              <w:rPr>
                <w:rStyle w:val="20"/>
                <w:rFonts w:ascii="Times New Roman" w:hAnsi="Times New Roman" w:cs="Times New Roman"/>
                <w:sz w:val="20"/>
                <w:szCs w:val="20"/>
              </w:rPr>
              <w:footnoteReference w:id="29"/>
            </w:r>
            <w:r>
              <w:rPr>
                <w:rFonts w:ascii="Times New Roman" w:hAnsi="Times New Roman" w:cs="Times New Roman"/>
                <w:sz w:val="20"/>
                <w:szCs w:val="20"/>
              </w:rPr>
              <w:t>.</w:t>
            </w:r>
          </w:p>
          <w:p w14:paraId="0621F405">
            <w:pPr>
              <w:pStyle w:val="52"/>
              <w:numPr>
                <w:ilvl w:val="0"/>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Regulāra sabiedrības informēšana par aktualitātēm Austrumu robežā: regulāra sadaļas “Robežas stiprināšana” papildināšana AiM mājas lapā, informatīvie materiāli un video par Austrumu robežas stiprināšanu, Sargs.lv portāls un AiM sociālie tīkli, diskusiju tēmas AiM organizētos pasākumos, piemēram, Lampa festivāls.</w:t>
            </w:r>
          </w:p>
          <w:p w14:paraId="5F9B217B">
            <w:pPr>
              <w:pStyle w:val="52"/>
              <w:numPr>
                <w:ilvl w:val="0"/>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Sabiedrības informēšana par rīcību krīzes situācijās un gatavības kultūras veicināšana. </w:t>
            </w:r>
          </w:p>
          <w:p w14:paraId="5D605854">
            <w:pPr>
              <w:pStyle w:val="52"/>
              <w:numPr>
                <w:ilvl w:val="0"/>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Ikgadēji nodrošināts lekciju cikls skolām 7.-9 klasēm “Kā mēs sargājam Latviju?, kur lekcijas tiek sniegtas arī Latgales reģionā. </w:t>
            </w:r>
          </w:p>
          <w:p w14:paraId="542976E4">
            <w:pPr>
              <w:pStyle w:val="52"/>
              <w:numPr>
                <w:ilvl w:val="0"/>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Regulāras tikšanās ar pierobežas medijiem.</w:t>
            </w:r>
          </w:p>
        </w:tc>
        <w:tc>
          <w:tcPr>
            <w:tcW w:w="2238" w:type="dxa"/>
            <w:tcBorders>
              <w:top w:val="single" w:color="auto" w:sz="4" w:space="0"/>
              <w:left w:val="single" w:color="auto"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5C2E3A4">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Veicināta pašvaldību vadītāju, viedokļu līderu, mediju, skolēnu un sabiedrības kopumā izpratne un informētība par aizsardzības nozares aktualitātēm.</w:t>
            </w:r>
          </w:p>
          <w:p w14:paraId="30A3EA1D">
            <w:pPr>
              <w:spacing w:after="0" w:line="240" w:lineRule="auto"/>
              <w:jc w:val="both"/>
              <w:rPr>
                <w:rFonts w:ascii="Times New Roman" w:hAnsi="Times New Roman" w:cs="Times New Roman"/>
                <w:bCs/>
                <w:sz w:val="20"/>
                <w:szCs w:val="20"/>
              </w:rPr>
            </w:pPr>
          </w:p>
          <w:p w14:paraId="1B5924B7">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Veicināta sabiedrības gatavības kultūra un informētība, kā rīkoties krīzes gadījumos. </w:t>
            </w:r>
          </w:p>
          <w:p w14:paraId="45E25393">
            <w:pPr>
              <w:spacing w:after="120" w:line="240" w:lineRule="auto"/>
              <w:jc w:val="both"/>
              <w:rPr>
                <w:rFonts w:ascii="Times New Roman" w:hAnsi="Times New Roman" w:cs="Times New Roman"/>
                <w:sz w:val="20"/>
                <w:szCs w:val="20"/>
              </w:rPr>
            </w:pP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6AD191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 kā daļa no nacionālā mēroga aktivitātēm (Austrumu pierobežā atsevišķi nav izdalāmi):</w:t>
            </w:r>
          </w:p>
          <w:p w14:paraId="09A8C71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Semināri “Rupors” – 4 semināri Latvijas reģionos un mācības “Pilskalns” atbilstoši NBS plānam*</w:t>
            </w:r>
          </w:p>
          <w:p w14:paraId="2AEADCF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VVA reģionālo semināru cikli – pasākumi 3-4 gadā Latvijas reģionos*</w:t>
            </w:r>
          </w:p>
          <w:p w14:paraId="0F2B527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Lekciju cikls “Kā mēs sargājam Latviju?” – tiek izsūtīts mācību gada sākumā visam skolu sarakstam, lekcijas pēc pieprasījuma (100 – 200 gadā provizoriski)*</w:t>
            </w:r>
          </w:p>
          <w:p w14:paraId="0C06455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Regulāri nodrošināta informācija medijiem preses relīžu un klātienes tikšanos formātā*</w:t>
            </w:r>
          </w:p>
          <w:p w14:paraId="679EEC5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Stiprināta informatīvā telpa un veicināta gatavības kultūra**</w:t>
            </w:r>
          </w:p>
          <w:p w14:paraId="56DE190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Informēta un izglītota sabiedrība**</w:t>
            </w:r>
          </w:p>
        </w:tc>
        <w:tc>
          <w:tcPr>
            <w:tcW w:w="1261" w:type="dxa"/>
            <w:tcBorders>
              <w:top w:val="single" w:color="auto"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2173F831">
            <w:pPr>
              <w:spacing w:after="120" w:line="240" w:lineRule="auto"/>
              <w:jc w:val="center"/>
              <w:rPr>
                <w:rFonts w:ascii="Times New Roman" w:hAnsi="Times New Roman" w:cs="Times New Roman"/>
                <w:bCs/>
                <w:sz w:val="20"/>
                <w:szCs w:val="20"/>
              </w:rPr>
            </w:pPr>
            <w:r>
              <w:rPr>
                <w:rFonts w:ascii="Times New Roman" w:hAnsi="Times New Roman" w:eastAsia="Times New Roman" w:cs="Times New Roman"/>
                <w:sz w:val="20"/>
                <w:szCs w:val="20"/>
              </w:rPr>
              <w:t>AiM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9053BED">
            <w:pPr>
              <w:spacing w:after="120" w:line="240" w:lineRule="auto"/>
              <w:jc w:val="center"/>
              <w:rPr>
                <w:rFonts w:ascii="Times New Roman" w:hAnsi="Times New Roman" w:eastAsia="Times New Roman" w:cs="Times New Roman"/>
                <w:b/>
                <w:bCs/>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8D8E1EA">
            <w:pPr>
              <w:spacing w:after="120" w:line="240" w:lineRule="auto"/>
              <w:jc w:val="center"/>
              <w:rPr>
                <w:rFonts w:ascii="Times New Roman" w:hAnsi="Times New Roman" w:eastAsia="Times New Roman" w:cs="Times New Roman"/>
                <w:sz w:val="20"/>
                <w:szCs w:val="20"/>
              </w:rPr>
            </w:pPr>
            <w:r>
              <w:rPr>
                <w:rFonts w:ascii="Times New Roman" w:hAnsi="Times New Roman" w:cs="Times New Roman"/>
                <w:bCs/>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35FC0BA">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Kopējais finansējums visā Latvijā (pasākums tiek īstenots </w:t>
            </w:r>
            <w:r>
              <w:rPr>
                <w:rFonts w:ascii="Times New Roman" w:hAnsi="Times New Roman" w:cs="Times New Roman"/>
                <w:sz w:val="20"/>
                <w:szCs w:val="20"/>
              </w:rPr>
              <w:t>kā daļa no nacionālā mēroga aktivitātēm, Austrumu pierobežā atsevišķi nav izdalāms)</w:t>
            </w:r>
            <w:r>
              <w:rPr>
                <w:rFonts w:ascii="Times New Roman" w:hAnsi="Times New Roman" w:eastAsia="Times New Roman" w:cs="Times New Roman"/>
                <w:sz w:val="20"/>
                <w:szCs w:val="20"/>
              </w:rPr>
              <w:t>:</w:t>
            </w:r>
          </w:p>
          <w:p w14:paraId="5B715691">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AiM esošā budžeta ietvaros</w:t>
            </w:r>
            <w:r>
              <w:rPr>
                <w:rStyle w:val="20"/>
                <w:rFonts w:ascii="Times New Roman" w:hAnsi="Times New Roman" w:eastAsia="Times New Roman" w:cs="Times New Roman"/>
                <w:sz w:val="20"/>
                <w:szCs w:val="20"/>
              </w:rPr>
              <w:footnoteReference w:id="30"/>
            </w:r>
          </w:p>
          <w:p w14:paraId="2612DEF4">
            <w:pPr>
              <w:spacing w:after="120" w:line="240" w:lineRule="auto"/>
              <w:rPr>
                <w:rFonts w:ascii="Times New Roman" w:hAnsi="Times New Roman" w:cs="Times New Roman"/>
                <w:i/>
                <w:iCs/>
                <w:sz w:val="20"/>
                <w:szCs w:val="20"/>
              </w:rPr>
            </w:pPr>
            <w:r>
              <w:rPr>
                <w:rFonts w:ascii="Times New Roman" w:hAnsi="Times New Roman" w:cs="Times New Roman"/>
                <w:i/>
                <w:iCs/>
                <w:sz w:val="20"/>
                <w:szCs w:val="20"/>
              </w:rPr>
              <w:t>(Valsts budžets)</w:t>
            </w:r>
          </w:p>
          <w:p w14:paraId="3D000E28">
            <w:pPr>
              <w:spacing w:after="120" w:line="240" w:lineRule="auto"/>
              <w:rPr>
                <w:rFonts w:ascii="Times New Roman" w:hAnsi="Times New Roman" w:eastAsia="Times New Roman" w:cs="Times New Roman"/>
                <w:sz w:val="20"/>
                <w:szCs w:val="20"/>
              </w:rPr>
            </w:pPr>
          </w:p>
        </w:tc>
      </w:tr>
      <w:tr w14:paraId="62C47AD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1F4A79D7">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730EFB8">
            <w:pPr>
              <w:spacing w:line="240" w:lineRule="auto"/>
              <w:jc w:val="both"/>
              <w:rPr>
                <w:rFonts w:ascii="Times New Roman" w:hAnsi="Times New Roman" w:cs="Times New Roman"/>
                <w:sz w:val="20"/>
                <w:szCs w:val="20"/>
              </w:rPr>
            </w:pPr>
            <w:r>
              <w:rPr>
                <w:rFonts w:ascii="Times New Roman" w:hAnsi="Times New Roman" w:cs="Times New Roman"/>
                <w:sz w:val="20"/>
                <w:szCs w:val="20"/>
              </w:rPr>
              <w:t>Militārā infrastruktūra Latgales reģionā – Militārās infrastruktūras (bāzes/poligonu) attīstība Latgalē:</w:t>
            </w:r>
          </w:p>
          <w:p w14:paraId="7B692BAC">
            <w:pPr>
              <w:pStyle w:val="52"/>
              <w:numPr>
                <w:ilvl w:val="1"/>
                <w:numId w:val="16"/>
              </w:numPr>
              <w:spacing w:line="240" w:lineRule="auto"/>
              <w:ind w:left="223" w:hanging="223"/>
              <w:jc w:val="both"/>
              <w:rPr>
                <w:rFonts w:ascii="Times New Roman" w:hAnsi="Times New Roman" w:cs="Times New Roman"/>
                <w:sz w:val="20"/>
                <w:szCs w:val="20"/>
              </w:rPr>
            </w:pPr>
            <w:r>
              <w:rPr>
                <w:rFonts w:ascii="Times New Roman" w:hAnsi="Times New Roman" w:cs="Times New Roman"/>
                <w:sz w:val="20"/>
                <w:szCs w:val="20"/>
              </w:rPr>
              <w:t>Daugavpils militārā bāze: Militārās bāzes labiekārtošana un infrastruktūras pielāgošana ZS bataljona vajadzībām;</w:t>
            </w:r>
          </w:p>
          <w:p w14:paraId="0CBD70C8">
            <w:pPr>
              <w:pStyle w:val="52"/>
              <w:numPr>
                <w:ilvl w:val="1"/>
                <w:numId w:val="16"/>
              </w:numPr>
              <w:spacing w:line="240" w:lineRule="auto"/>
              <w:ind w:left="223" w:hanging="223"/>
              <w:jc w:val="both"/>
              <w:rPr>
                <w:rFonts w:ascii="Times New Roman" w:hAnsi="Times New Roman" w:cs="Times New Roman"/>
                <w:sz w:val="20"/>
                <w:szCs w:val="20"/>
              </w:rPr>
            </w:pPr>
            <w:r>
              <w:rPr>
                <w:rFonts w:ascii="Times New Roman" w:hAnsi="Times New Roman" w:cs="Times New Roman"/>
                <w:sz w:val="20"/>
                <w:szCs w:val="20"/>
              </w:rPr>
              <w:t>Rēzeknes militārā bāze: Militārās bāzes labiekārtošana un infrastruktūras pielāgošana ZS bataljona vajadzībām;</w:t>
            </w:r>
          </w:p>
          <w:p w14:paraId="5A9C4F8B">
            <w:pPr>
              <w:pStyle w:val="52"/>
              <w:numPr>
                <w:ilvl w:val="1"/>
                <w:numId w:val="16"/>
              </w:numPr>
              <w:spacing w:line="240" w:lineRule="auto"/>
              <w:ind w:left="223" w:hanging="223"/>
              <w:jc w:val="both"/>
              <w:rPr>
                <w:rFonts w:ascii="Times New Roman" w:hAnsi="Times New Roman" w:cs="Times New Roman"/>
                <w:sz w:val="20"/>
                <w:szCs w:val="20"/>
              </w:rPr>
            </w:pPr>
            <w:r>
              <w:rPr>
                <w:rFonts w:ascii="Times New Roman" w:hAnsi="Times New Roman" w:cs="Times New Roman"/>
                <w:sz w:val="20"/>
                <w:szCs w:val="20"/>
              </w:rPr>
              <w:t>Lūznavas militārā bāze: Militārās bāzes l labiekārtošana un infrastruktūras pielāgošana ZS bataljona vajadzībām;</w:t>
            </w:r>
          </w:p>
          <w:p w14:paraId="39A46BC0">
            <w:pPr>
              <w:pStyle w:val="52"/>
              <w:numPr>
                <w:ilvl w:val="1"/>
                <w:numId w:val="16"/>
              </w:numPr>
              <w:spacing w:line="240" w:lineRule="auto"/>
              <w:ind w:left="223" w:hanging="223"/>
              <w:jc w:val="both"/>
              <w:rPr>
                <w:rFonts w:ascii="Times New Roman" w:hAnsi="Times New Roman" w:cs="Times New Roman"/>
                <w:sz w:val="20"/>
                <w:szCs w:val="20"/>
              </w:rPr>
            </w:pPr>
            <w:r>
              <w:rPr>
                <w:rFonts w:ascii="Times New Roman" w:hAnsi="Times New Roman" w:cs="Times New Roman"/>
                <w:sz w:val="20"/>
                <w:szCs w:val="20"/>
              </w:rPr>
              <w:t>Preiļu militārā bāze: Militārās bāzes labiekārtošana un infrastruktūras pielāgošana ZS bataljona vajadzībām;</w:t>
            </w:r>
          </w:p>
          <w:p w14:paraId="73C67FEF">
            <w:pPr>
              <w:pStyle w:val="52"/>
              <w:numPr>
                <w:ilvl w:val="1"/>
                <w:numId w:val="16"/>
              </w:numPr>
              <w:spacing w:line="240" w:lineRule="auto"/>
              <w:ind w:left="223" w:hanging="223"/>
              <w:jc w:val="both"/>
              <w:rPr>
                <w:rFonts w:ascii="Times New Roman" w:hAnsi="Times New Roman" w:cs="Times New Roman"/>
                <w:sz w:val="20"/>
                <w:szCs w:val="20"/>
              </w:rPr>
            </w:pPr>
            <w:r>
              <w:rPr>
                <w:rFonts w:ascii="Times New Roman" w:hAnsi="Times New Roman" w:cs="Times New Roman"/>
                <w:sz w:val="20"/>
                <w:szCs w:val="20"/>
              </w:rPr>
              <w:t>Poligons/Militārā bāze “Meža Mackeviči”: Poligona un bāzes attīstība NBS apmācību nodrošināšanai;</w:t>
            </w:r>
          </w:p>
          <w:p w14:paraId="2126F634">
            <w:pPr>
              <w:pStyle w:val="52"/>
              <w:numPr>
                <w:ilvl w:val="1"/>
                <w:numId w:val="16"/>
              </w:numPr>
              <w:spacing w:line="240" w:lineRule="auto"/>
              <w:ind w:left="223" w:hanging="223"/>
              <w:jc w:val="both"/>
              <w:rPr>
                <w:rFonts w:ascii="Times New Roman" w:hAnsi="Times New Roman" w:cs="Times New Roman"/>
                <w:sz w:val="20"/>
                <w:szCs w:val="20"/>
              </w:rPr>
            </w:pPr>
            <w:r>
              <w:rPr>
                <w:rFonts w:ascii="Times New Roman" w:hAnsi="Times New Roman" w:cs="Times New Roman"/>
                <w:sz w:val="20"/>
                <w:szCs w:val="20"/>
              </w:rPr>
              <w:t>Alūksnes bāzes attīstība: Lāčusils poligona infrastruktūras attīstība;</w:t>
            </w:r>
          </w:p>
          <w:p w14:paraId="6EBFDE76">
            <w:pPr>
              <w:pStyle w:val="52"/>
              <w:numPr>
                <w:ilvl w:val="1"/>
                <w:numId w:val="16"/>
              </w:numPr>
              <w:spacing w:line="240" w:lineRule="auto"/>
              <w:ind w:left="223" w:hanging="223"/>
              <w:jc w:val="both"/>
              <w:rPr>
                <w:rFonts w:ascii="Times New Roman" w:hAnsi="Times New Roman" w:cs="Times New Roman"/>
                <w:sz w:val="20"/>
                <w:szCs w:val="20"/>
              </w:rPr>
            </w:pPr>
            <w:r>
              <w:rPr>
                <w:rFonts w:ascii="Times New Roman" w:hAnsi="Times New Roman" w:cs="Times New Roman"/>
                <w:sz w:val="20"/>
                <w:szCs w:val="20"/>
              </w:rPr>
              <w:t>Lūznavas un Daugavpils militāro bāžu infrastruktūras pielāgošana Latgalē izvietoto VAD karavīru vajadzībām (sk. arī 1.8.pasākumu).</w:t>
            </w:r>
          </w:p>
        </w:tc>
        <w:tc>
          <w:tcPr>
            <w:tcW w:w="2238" w:type="dxa"/>
            <w:tcBorders>
              <w:top w:val="single" w:color="auto" w:sz="4" w:space="0"/>
              <w:left w:val="single" w:color="auto"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1C6503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Plānotā infrastruktūra līdz 2027. gada beigām:</w:t>
            </w:r>
          </w:p>
          <w:p w14:paraId="3FFF8DC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VAD vajadzībām plānots izbūvēt 2 kazarmas, pielāgot esošo izmitināšanas infrastruktūru, atjaunot un izbūvēt labklājības infrastruktūru, izbūvēt jaunu ēdnīcu un pielāgot esošo ēdnīcu infrastruktūru.  </w:t>
            </w:r>
          </w:p>
          <w:p w14:paraId="49EE7ED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Uzlabota karavīru kaujas spējas. </w:t>
            </w:r>
          </w:p>
          <w:p w14:paraId="5D856B8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Pielāgota infrastruktūra militārās tehnikas, ekipējuma uzglabāšanai.  </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627BF1D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tiek īstenots tikai Austrumu pierobežā, rezultāti:</w:t>
            </w:r>
          </w:p>
          <w:p w14:paraId="47F8A07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Tiks palielināta VAD iesaucamo karavīru uzņemšanas kapacitāte līdz 550 karavīriem*</w:t>
            </w:r>
          </w:p>
          <w:p w14:paraId="2831B2C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Militārajos poligonos plānota šautuvju izbūve, nesprāgušās munīcijas zonas, mācību lauku, kā arī granātas mešanas laukuma atjaunošana*</w:t>
            </w:r>
          </w:p>
          <w:p w14:paraId="15A44E3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Militārajās bāzēs plānota 3 individuālā ekipējuma noliktavu un bruņojuma noliktavas izbūve, kā arī vairāku transportlīdzekļu novietņu izbūve militārajai tehnikai un jaunajām spējām*</w:t>
            </w:r>
          </w:p>
          <w:p w14:paraId="5B5875B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Izbūvēta izmitināmā infrastruktūra, kas ļaus palielināt karavīru skaitu Latgales reģionā**</w:t>
            </w:r>
          </w:p>
          <w:p w14:paraId="6BA96F2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Uzlabota infrastruktūra, kas ļaus palielināt materiāltehnisko līdzekļu (turpmāk – MTL) un kaujas tehnikas izvietošanas kapacitātes**</w:t>
            </w:r>
          </w:p>
          <w:p w14:paraId="5E1A44C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Tiks stiprināta kaujas spēja, uzlabojot un izbūvējot infrastruktūru militārajos poligonos**</w:t>
            </w:r>
          </w:p>
        </w:tc>
        <w:tc>
          <w:tcPr>
            <w:tcW w:w="1261" w:type="dxa"/>
            <w:tcBorders>
              <w:top w:val="single" w:color="auto"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30CD217E">
            <w:pPr>
              <w:spacing w:after="120" w:line="240" w:lineRule="auto"/>
              <w:jc w:val="center"/>
              <w:rPr>
                <w:rFonts w:ascii="Times New Roman" w:hAnsi="Times New Roman" w:cs="Times New Roman"/>
                <w:bCs/>
                <w:sz w:val="20"/>
                <w:szCs w:val="20"/>
              </w:rPr>
            </w:pPr>
            <w:r>
              <w:rPr>
                <w:rFonts w:ascii="Times New Roman" w:hAnsi="Times New Roman" w:eastAsia="Times New Roman" w:cs="Times New Roman"/>
                <w:sz w:val="20"/>
                <w:szCs w:val="20"/>
              </w:rPr>
              <w:t>AiM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88AB624">
            <w:pPr>
              <w:spacing w:after="120" w:line="240" w:lineRule="auto"/>
              <w:jc w:val="center"/>
              <w:rPr>
                <w:rFonts w:ascii="Times New Roman" w:hAnsi="Times New Roman" w:eastAsia="Times New Roman" w:cs="Times New Roman"/>
                <w:b/>
                <w:bCs/>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C7A54FA">
            <w:pPr>
              <w:spacing w:after="12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C1AC2C0">
            <w:pPr>
              <w:spacing w:after="120" w:line="240" w:lineRule="auto"/>
              <w:rPr>
                <w:rFonts w:ascii="Times New Roman" w:hAnsi="Times New Roman" w:cs="Times New Roman"/>
                <w:sz w:val="20"/>
                <w:szCs w:val="20"/>
              </w:rPr>
            </w:pPr>
            <w:r>
              <w:rPr>
                <w:rFonts w:ascii="Times New Roman" w:hAnsi="Times New Roman" w:cs="Times New Roman"/>
                <w:sz w:val="20"/>
                <w:szCs w:val="20"/>
              </w:rPr>
              <w:t>Pasākuma, kas tiek īstenots tikai Austrumu pierobežā, finansējums:</w:t>
            </w:r>
          </w:p>
          <w:p w14:paraId="39AE27FA">
            <w:pPr>
              <w:spacing w:line="240" w:lineRule="auto"/>
              <w:rPr>
                <w:rFonts w:ascii="Times New Roman" w:hAnsi="Times New Roman" w:cs="Times New Roman"/>
                <w:sz w:val="20"/>
                <w:szCs w:val="20"/>
              </w:rPr>
            </w:pPr>
            <w:r>
              <w:rPr>
                <w:rFonts w:ascii="Times New Roman" w:hAnsi="Times New Roman" w:cs="Times New Roman"/>
                <w:sz w:val="20"/>
                <w:szCs w:val="20"/>
              </w:rPr>
              <w:t xml:space="preserve">57 600 000 </w:t>
            </w:r>
            <w:r>
              <w:rPr>
                <w:rFonts w:ascii="Times New Roman" w:hAnsi="Times New Roman" w:cs="Times New Roman"/>
                <w:i/>
                <w:iCs/>
                <w:sz w:val="20"/>
                <w:szCs w:val="20"/>
              </w:rPr>
              <w:t>euro</w:t>
            </w:r>
          </w:p>
          <w:p w14:paraId="69406EB2">
            <w:pPr>
              <w:spacing w:after="120" w:line="240" w:lineRule="auto"/>
              <w:rPr>
                <w:rFonts w:ascii="Times New Roman" w:hAnsi="Times New Roman" w:cs="Times New Roman"/>
                <w:i/>
                <w:sz w:val="20"/>
                <w:szCs w:val="20"/>
              </w:rPr>
            </w:pPr>
            <w:r>
              <w:rPr>
                <w:rFonts w:ascii="Times New Roman" w:hAnsi="Times New Roman" w:cs="Times New Roman"/>
                <w:i/>
                <w:iCs/>
                <w:sz w:val="20"/>
                <w:szCs w:val="20"/>
              </w:rPr>
              <w:t>(Valsts budžets)</w:t>
            </w:r>
          </w:p>
          <w:p w14:paraId="67E38A70">
            <w:pPr>
              <w:spacing w:line="240" w:lineRule="auto"/>
              <w:rPr>
                <w:rFonts w:ascii="Times New Roman" w:hAnsi="Times New Roman" w:cs="Times New Roman"/>
                <w:sz w:val="20"/>
                <w:szCs w:val="20"/>
              </w:rPr>
            </w:pPr>
            <w:r>
              <w:rPr>
                <w:rFonts w:ascii="Times New Roman" w:hAnsi="Times New Roman" w:cs="Times New Roman"/>
                <w:sz w:val="20"/>
                <w:szCs w:val="20"/>
              </w:rPr>
              <w:t xml:space="preserve">NATO Drošības investīciju programma 2 983 916 </w:t>
            </w:r>
            <w:r>
              <w:rPr>
                <w:rFonts w:ascii="Times New Roman" w:hAnsi="Times New Roman" w:cs="Times New Roman"/>
                <w:i/>
                <w:iCs/>
                <w:sz w:val="20"/>
                <w:szCs w:val="20"/>
              </w:rPr>
              <w:t>euro</w:t>
            </w:r>
          </w:p>
          <w:p w14:paraId="1F42DA7C">
            <w:pPr>
              <w:spacing w:line="240" w:lineRule="auto"/>
              <w:rPr>
                <w:rFonts w:ascii="Times New Roman" w:hAnsi="Times New Roman" w:eastAsia="Times New Roman" w:cs="Times New Roman"/>
                <w:i/>
                <w:sz w:val="20"/>
                <w:szCs w:val="20"/>
              </w:rPr>
            </w:pPr>
            <w:r>
              <w:rPr>
                <w:rFonts w:ascii="Times New Roman" w:hAnsi="Times New Roman" w:eastAsia="Times New Roman" w:cs="Times New Roman"/>
                <w:i/>
                <w:iCs/>
                <w:sz w:val="20"/>
                <w:szCs w:val="20"/>
              </w:rPr>
              <w:t>(Cits ārvalstu finansējums)</w:t>
            </w:r>
          </w:p>
        </w:tc>
      </w:tr>
      <w:tr w14:paraId="4529ED6D">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26A8B7D6">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1A155A6">
            <w:pPr>
              <w:spacing w:line="240" w:lineRule="auto"/>
              <w:rPr>
                <w:rFonts w:ascii="Times New Roman" w:hAnsi="Times New Roman" w:cs="Times New Roman"/>
                <w:sz w:val="20"/>
                <w:szCs w:val="20"/>
              </w:rPr>
            </w:pPr>
            <w:r>
              <w:rPr>
                <w:rFonts w:ascii="Times New Roman" w:hAnsi="Times New Roman" w:cs="Times New Roman"/>
                <w:sz w:val="20"/>
                <w:szCs w:val="20"/>
              </w:rPr>
              <w:t>Aizsardzības industrija Latgalē / divējāda lietojuma preces:</w:t>
            </w:r>
          </w:p>
          <w:p w14:paraId="155F9108">
            <w:pPr>
              <w:spacing w:line="240" w:lineRule="auto"/>
              <w:rPr>
                <w:rFonts w:ascii="Times New Roman" w:hAnsi="Times New Roman" w:cs="Times New Roman"/>
                <w:sz w:val="20"/>
                <w:szCs w:val="20"/>
              </w:rPr>
            </w:pPr>
            <w:r>
              <w:rPr>
                <w:rFonts w:ascii="Times New Roman" w:hAnsi="Times New Roman" w:cs="Times New Roman"/>
                <w:sz w:val="20"/>
                <w:szCs w:val="20"/>
              </w:rPr>
              <w:t>(1) Uzņēmumu kartēšana ar divējāda un militāra lietojuma produktu ražošanas potenciālu: AiM plāno reģionālos seminārus sadarbībā ar vietējām pašvaldībām Rēzeknē, Daugavpilī un Jēkabpilī 2024./2025. gadā.</w:t>
            </w:r>
            <w:r>
              <w:rPr>
                <w:rStyle w:val="20"/>
                <w:rFonts w:ascii="Times New Roman" w:hAnsi="Times New Roman" w:cs="Times New Roman"/>
                <w:sz w:val="20"/>
                <w:szCs w:val="20"/>
              </w:rPr>
              <w:footnoteReference w:id="31"/>
            </w:r>
            <w:r>
              <w:rPr>
                <w:rFonts w:ascii="Times New Roman" w:hAnsi="Times New Roman" w:cs="Times New Roman"/>
                <w:sz w:val="20"/>
                <w:szCs w:val="20"/>
              </w:rPr>
              <w:t xml:space="preserve"> </w:t>
            </w:r>
          </w:p>
          <w:p w14:paraId="0E4B9D93">
            <w:pPr>
              <w:spacing w:line="240" w:lineRule="auto"/>
              <w:jc w:val="both"/>
              <w:rPr>
                <w:rFonts w:ascii="Times New Roman" w:hAnsi="Times New Roman" w:cs="Times New Roman"/>
                <w:sz w:val="20"/>
                <w:szCs w:val="20"/>
              </w:rPr>
            </w:pPr>
            <w:r>
              <w:rPr>
                <w:rFonts w:ascii="Times New Roman" w:hAnsi="Times New Roman" w:cs="Times New Roman"/>
                <w:sz w:val="20"/>
                <w:szCs w:val="20"/>
              </w:rPr>
              <w:t>(2) Lai celtu divejādās pielietojamības preču ražošanas kapacitāti, FM virzīt priekšlikumus Eiropas Savienības līmenī par Regulas Nr. 651/2014 ar ko noteiktas atbalsta kategorijas atzīst par saderīgām ar iekšējo tirgu, piemērojot Līguma 107. un 108. pantu un  Regulas (ES) 2023/2831 par Līguma par Eiropas Savienības darbību 107. un 108. panta piemērošanu de minimis atbalstam, valsts atbalsta intensitātes palielinājumu divejādās pielietojamības preču ražošanai.</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05E8D6B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Kartēšanas rezultātā tiks izveidots katalogs ar  uzņēmumu spējām, kam ir divējāda un militāra lietojuma produktu ražošanas potenciāls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080DFF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tiek īstenots tikai Austrumu pierobežā, rezultāti:</w:t>
            </w:r>
          </w:p>
          <w:p w14:paraId="7B1C48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Sagatavots katalogs ar  uzņēmumu spējām, kam ir divējāda un militāra lietojuma produktu ražošanas potenciāls*</w:t>
            </w:r>
          </w:p>
          <w:p w14:paraId="070679E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Sagatavots katalogs par vietējās industrijas spējām ir pieejams ārvalstu uzņēmumiem lielo spēju iepirkumos**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1E7EEA16">
            <w:pPr>
              <w:spacing w:after="120" w:line="240" w:lineRule="auto"/>
              <w:jc w:val="center"/>
              <w:rPr>
                <w:rFonts w:ascii="Times New Roman" w:hAnsi="Times New Roman" w:cs="Times New Roman"/>
                <w:bCs/>
                <w:sz w:val="20"/>
                <w:szCs w:val="20"/>
              </w:rPr>
            </w:pPr>
            <w:r>
              <w:rPr>
                <w:rFonts w:ascii="Times New Roman" w:hAnsi="Times New Roman" w:eastAsia="Times New Roman" w:cs="Times New Roman"/>
                <w:sz w:val="20"/>
                <w:szCs w:val="20"/>
              </w:rPr>
              <w:t>AiM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5E701B2">
            <w:pPr>
              <w:spacing w:after="120" w:line="240" w:lineRule="auto"/>
              <w:jc w:val="center"/>
              <w:rPr>
                <w:rFonts w:ascii="Times New Roman" w:hAnsi="Times New Roman" w:eastAsia="Times New Roman" w:cs="Times New Roman"/>
                <w:b/>
                <w:bCs/>
                <w:sz w:val="20"/>
                <w:szCs w:val="20"/>
              </w:rPr>
            </w:pPr>
            <w:r>
              <w:rPr>
                <w:rFonts w:ascii="Times New Roman" w:hAnsi="Times New Roman" w:cs="Times New Roman"/>
                <w:sz w:val="20"/>
                <w:szCs w:val="20"/>
              </w:rPr>
              <w:t>EM</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A38C9E2">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2025– 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FA589C4">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Pasākuma, kas tiks īstenots tikai Austrumu pierobežā, finansējums:</w:t>
            </w:r>
          </w:p>
          <w:p w14:paraId="4CA2F38D">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AiM esošā budžeta ietvaros</w:t>
            </w:r>
            <w:r>
              <w:rPr>
                <w:rStyle w:val="20"/>
                <w:rFonts w:ascii="Times New Roman" w:hAnsi="Times New Roman" w:eastAsia="Times New Roman" w:cs="Times New Roman"/>
                <w:sz w:val="20"/>
                <w:szCs w:val="20"/>
              </w:rPr>
              <w:footnoteReference w:id="32"/>
            </w:r>
          </w:p>
          <w:p w14:paraId="22664FC7">
            <w:pPr>
              <w:spacing w:after="120" w:line="240" w:lineRule="auto"/>
              <w:rPr>
                <w:rFonts w:ascii="Times New Roman" w:hAnsi="Times New Roman" w:cs="Times New Roman"/>
                <w:i/>
                <w:iCs/>
                <w:sz w:val="20"/>
                <w:szCs w:val="20"/>
              </w:rPr>
            </w:pPr>
            <w:r>
              <w:rPr>
                <w:rFonts w:ascii="Times New Roman" w:hAnsi="Times New Roman" w:cs="Times New Roman"/>
                <w:i/>
                <w:iCs/>
                <w:sz w:val="20"/>
                <w:szCs w:val="20"/>
              </w:rPr>
              <w:t>(Valsts budžets)</w:t>
            </w:r>
          </w:p>
          <w:p w14:paraId="4A0F39D1">
            <w:pPr>
              <w:spacing w:line="240" w:lineRule="auto"/>
              <w:rPr>
                <w:rFonts w:ascii="Times New Roman" w:hAnsi="Times New Roman" w:eastAsia="Times New Roman" w:cs="Times New Roman"/>
                <w:sz w:val="20"/>
                <w:szCs w:val="20"/>
              </w:rPr>
            </w:pPr>
          </w:p>
        </w:tc>
      </w:tr>
      <w:tr w14:paraId="7DAFD117">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74865B04">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15EA249">
            <w:pPr>
              <w:spacing w:line="240" w:lineRule="auto"/>
              <w:jc w:val="both"/>
              <w:rPr>
                <w:rFonts w:ascii="Times New Roman" w:hAnsi="Times New Roman" w:cs="Times New Roman"/>
                <w:sz w:val="20"/>
                <w:szCs w:val="20"/>
              </w:rPr>
            </w:pPr>
            <w:r>
              <w:rPr>
                <w:rFonts w:ascii="Times New Roman" w:hAnsi="Times New Roman" w:cs="Times New Roman"/>
                <w:sz w:val="20"/>
                <w:szCs w:val="20"/>
              </w:rPr>
              <w:t>Latvijas Austrumu robežas pretmobilitātes plāns (apstiprināts Ministru kabinetā 2024.gada 5.martā), kas ir daļa no Baltijas Aizsardzības līnijas izveides.</w:t>
            </w:r>
            <w:r>
              <w:rPr>
                <w:rStyle w:val="20"/>
                <w:rFonts w:ascii="Times New Roman" w:hAnsi="Times New Roman" w:cs="Times New Roman"/>
                <w:sz w:val="20"/>
                <w:szCs w:val="20"/>
              </w:rPr>
              <w:footnoteReference w:id="33"/>
            </w:r>
          </w:p>
          <w:p w14:paraId="0684B1D9">
            <w:pPr>
              <w:spacing w:line="240" w:lineRule="auto"/>
              <w:jc w:val="both"/>
              <w:rPr>
                <w:rFonts w:ascii="Times New Roman" w:hAnsi="Times New Roman" w:cs="Times New Roman"/>
                <w:sz w:val="20"/>
                <w:szCs w:val="20"/>
              </w:rPr>
            </w:pPr>
            <w:r>
              <w:rPr>
                <w:rFonts w:ascii="Times New Roman" w:hAnsi="Times New Roman" w:cs="Times New Roman"/>
                <w:sz w:val="20"/>
                <w:szCs w:val="20"/>
              </w:rPr>
              <w:t>Plāns ietver sekojošus pasākumus:</w:t>
            </w:r>
          </w:p>
          <w:p w14:paraId="2BA797D1">
            <w:pPr>
              <w:pStyle w:val="52"/>
              <w:numPr>
                <w:ilvl w:val="0"/>
                <w:numId w:val="16"/>
              </w:numPr>
              <w:spacing w:line="240" w:lineRule="auto"/>
              <w:jc w:val="both"/>
              <w:rPr>
                <w:rFonts w:ascii="Times New Roman" w:hAnsi="Times New Roman" w:cs="Times New Roman"/>
                <w:sz w:val="20"/>
                <w:szCs w:val="20"/>
              </w:rPr>
            </w:pPr>
            <w:r>
              <w:rPr>
                <w:rFonts w:ascii="Times New Roman" w:hAnsi="Times New Roman" w:cs="Times New Roman"/>
                <w:sz w:val="20"/>
                <w:szCs w:val="20"/>
              </w:rPr>
              <w:t>lai nepieļautu pretinieka pārvietošanos, tiks īstenoti pretmobilitātes pasākumi, piemēram, esošo ceļu pārrakšana, izveidojot prettanku grāvjus, dažāda tipa šķēršļu izvietošana;</w:t>
            </w:r>
          </w:p>
          <w:p w14:paraId="5777F96D">
            <w:pPr>
              <w:pStyle w:val="52"/>
              <w:numPr>
                <w:ilvl w:val="0"/>
                <w:numId w:val="16"/>
              </w:numPr>
              <w:spacing w:line="240" w:lineRule="auto"/>
              <w:jc w:val="both"/>
              <w:rPr>
                <w:rFonts w:ascii="Times New Roman" w:hAnsi="Times New Roman" w:cs="Times New Roman"/>
                <w:sz w:val="20"/>
                <w:szCs w:val="20"/>
              </w:rPr>
            </w:pPr>
            <w:r>
              <w:rPr>
                <w:rFonts w:ascii="Times New Roman" w:hAnsi="Times New Roman" w:cs="Times New Roman"/>
                <w:sz w:val="20"/>
                <w:szCs w:val="20"/>
              </w:rPr>
              <w:t>pierobežas joslā tiks noteiktas un ierīkotas drošas sprāgstvielu un mīnu, kā arī inženiertehnisko materiālu glabātuves ātrai aizsardzības pozīciju pastiprināšanai;</w:t>
            </w:r>
          </w:p>
          <w:p w14:paraId="30A8B5E5">
            <w:pPr>
              <w:pStyle w:val="52"/>
              <w:numPr>
                <w:ilvl w:val="0"/>
                <w:numId w:val="16"/>
              </w:numPr>
              <w:spacing w:line="240" w:lineRule="auto"/>
              <w:jc w:val="both"/>
              <w:rPr>
                <w:rFonts w:ascii="Times New Roman" w:hAnsi="Times New Roman" w:cs="Times New Roman"/>
                <w:sz w:val="20"/>
                <w:szCs w:val="20"/>
              </w:rPr>
            </w:pPr>
            <w:r>
              <w:rPr>
                <w:rFonts w:ascii="Times New Roman" w:hAnsi="Times New Roman" w:cs="Times New Roman"/>
                <w:sz w:val="20"/>
                <w:szCs w:val="20"/>
              </w:rPr>
              <w:t>tiks izstrādāti plāni svarīgāko transporta artēriju – ceļu, dzelzceļu, tiltu – sagatavošanai ātrai un efektīvai pārraušanai, lai aizkavētu iespējamo pretinieka virzību.</w:t>
            </w:r>
          </w:p>
          <w:p w14:paraId="5356F03A">
            <w:pPr>
              <w:spacing w:line="240" w:lineRule="auto"/>
              <w:rPr>
                <w:rFonts w:ascii="Times New Roman" w:hAnsi="Times New Roman" w:cs="Times New Roman"/>
                <w:sz w:val="20"/>
                <w:szCs w:val="20"/>
              </w:rPr>
            </w:pPr>
            <w:r>
              <w:rPr>
                <w:rFonts w:ascii="Times New Roman" w:hAnsi="Times New Roman" w:cs="Times New Roman"/>
                <w:sz w:val="20"/>
                <w:szCs w:val="20"/>
              </w:rPr>
              <w:t>Plāna ieviešanas gaitā plānots sekmēt vietējās industrijas un darbaspēka iesaisti robežas stiprināšanas darbu īstenošanā, līdz ar to daļu no plānotā finansējuma būs iespējams apgūt Latgales uzņēmumiem.</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494AB95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Meliorācijas grāvju pilnveidošana un pielāgošana par prettanku grāvjiem, turpmāka uzturēšana / sakopšana, iesaistot vietējos iedzīvotājus / uzņēmējus.</w:t>
            </w:r>
          </w:p>
          <w:p w14:paraId="52B4F10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No jauna izbūvējamajos ceļos, tiltos  iestrādāti pretmobilitātes pasākumi (piemēram, nišas ātrai bloķēšanai)</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5F8FB2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tiks īstenots tikai Austrumu pierobežā, rezultāti:</w:t>
            </w:r>
          </w:p>
          <w:p w14:paraId="5BC8B4A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Pretmobilitātes pasākumu ieviešanā ir nodrošinātas vairāk kā 100 darba vietas vietējiem iedzīvotājiem.*</w:t>
            </w:r>
          </w:p>
          <w:p w14:paraId="3DC84E0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No pretmobilitātes materiāliem ir izveidotas šķēršļu grupas A-pierobežā, kas ierobežo mobilitāti / strauju iekļūšanu Latvijas teritorijā ar militāro tehniku.**</w:t>
            </w:r>
          </w:p>
          <w:p w14:paraId="4867369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Tiks iegādātas un izvietotas 30 km zonā no austrumu robežas munīcijas  un bruņojuma noliktavas.*</w:t>
            </w:r>
          </w:p>
          <w:p w14:paraId="3AA53D7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Ir izveidoti pretmobilitātes materiālu parki, kopā 25 vietās.**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703370BE">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AiM</w:t>
            </w:r>
          </w:p>
          <w:p w14:paraId="00790E8E">
            <w:pPr>
              <w:spacing w:line="240" w:lineRule="auto"/>
              <w:rPr>
                <w:rFonts w:ascii="Times New Roman" w:hAnsi="Times New Roman" w:eastAsia="Times New Roman" w:cs="Times New Roman"/>
                <w:sz w:val="20"/>
                <w:szCs w:val="20"/>
              </w:rPr>
            </w:pPr>
          </w:p>
          <w:p w14:paraId="3F3015DC">
            <w:pPr>
              <w:spacing w:line="240" w:lineRule="auto"/>
              <w:rPr>
                <w:rFonts w:ascii="Times New Roman" w:hAnsi="Times New Roman" w:eastAsia="Times New Roman" w:cs="Times New Roman"/>
                <w:sz w:val="20"/>
                <w:szCs w:val="20"/>
              </w:rPr>
            </w:pPr>
          </w:p>
          <w:p w14:paraId="32C35C36">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AiM, ZM</w:t>
            </w:r>
          </w:p>
          <w:p w14:paraId="0BB546E8">
            <w:pPr>
              <w:spacing w:line="240" w:lineRule="auto"/>
              <w:rPr>
                <w:rFonts w:ascii="Times New Roman" w:hAnsi="Times New Roman" w:eastAsia="Times New Roman" w:cs="Times New Roman"/>
                <w:sz w:val="20"/>
                <w:szCs w:val="20"/>
              </w:rPr>
            </w:pPr>
          </w:p>
          <w:p w14:paraId="446DEA1A">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AiM</w:t>
            </w:r>
          </w:p>
          <w:p w14:paraId="47BACDA6">
            <w:pPr>
              <w:spacing w:line="240" w:lineRule="auto"/>
              <w:rPr>
                <w:rFonts w:ascii="Times New Roman" w:hAnsi="Times New Roman" w:eastAsia="Times New Roman" w:cs="Times New Roman"/>
                <w:sz w:val="20"/>
                <w:szCs w:val="20"/>
              </w:rPr>
            </w:pPr>
          </w:p>
          <w:p w14:paraId="647029DA">
            <w:pPr>
              <w:spacing w:after="120" w:line="240" w:lineRule="auto"/>
              <w:rPr>
                <w:rFonts w:ascii="Times New Roman" w:hAnsi="Times New Roman" w:eastAsia="Times New Roman" w:cs="Times New Roman"/>
                <w:sz w:val="20"/>
                <w:szCs w:val="20"/>
              </w:rPr>
            </w:pPr>
          </w:p>
          <w:p w14:paraId="3E027426">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AiM, SM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F2EBB7B">
            <w:pPr>
              <w:spacing w:after="120" w:line="240" w:lineRule="auto"/>
              <w:rPr>
                <w:rFonts w:ascii="Times New Roman" w:hAnsi="Times New Roman" w:cs="Times New Roman"/>
                <w:bCs/>
                <w:sz w:val="20"/>
                <w:szCs w:val="20"/>
                <w:shd w:val="clear" w:color="auto" w:fill="FFFF00"/>
              </w:rPr>
            </w:pPr>
          </w:p>
          <w:p w14:paraId="3EDB4A2E">
            <w:pPr>
              <w:spacing w:line="240" w:lineRule="auto"/>
              <w:rPr>
                <w:rFonts w:ascii="Times New Roman" w:hAnsi="Times New Roman" w:cs="Times New Roman"/>
                <w:sz w:val="20"/>
                <w:szCs w:val="20"/>
              </w:rPr>
            </w:pPr>
          </w:p>
          <w:p w14:paraId="7DB9A125">
            <w:pPr>
              <w:spacing w:line="240" w:lineRule="auto"/>
              <w:rPr>
                <w:rFonts w:ascii="Times New Roman" w:hAnsi="Times New Roman" w:cs="Times New Roman"/>
                <w:sz w:val="20"/>
                <w:szCs w:val="20"/>
              </w:rPr>
            </w:pPr>
          </w:p>
          <w:p w14:paraId="556811DC">
            <w:pPr>
              <w:spacing w:line="240" w:lineRule="auto"/>
              <w:rPr>
                <w:rFonts w:ascii="Times New Roman" w:hAnsi="Times New Roman" w:cs="Times New Roman"/>
                <w:sz w:val="20"/>
                <w:szCs w:val="20"/>
              </w:rPr>
            </w:pPr>
            <w:r>
              <w:rPr>
                <w:rFonts w:ascii="Times New Roman" w:hAnsi="Times New Roman" w:cs="Times New Roman"/>
                <w:sz w:val="20"/>
                <w:szCs w:val="20"/>
              </w:rPr>
              <w:t>EM, FM</w:t>
            </w:r>
          </w:p>
          <w:p w14:paraId="148203DC">
            <w:pPr>
              <w:spacing w:line="240" w:lineRule="auto"/>
              <w:rPr>
                <w:rFonts w:ascii="Times New Roman" w:hAnsi="Times New Roman" w:cs="Times New Roman"/>
                <w:sz w:val="20"/>
                <w:szCs w:val="20"/>
              </w:rPr>
            </w:pPr>
          </w:p>
          <w:p w14:paraId="5ADAC7B7">
            <w:pPr>
              <w:spacing w:line="240" w:lineRule="auto"/>
              <w:rPr>
                <w:rFonts w:ascii="Times New Roman" w:hAnsi="Times New Roman" w:cs="Times New Roman"/>
                <w:sz w:val="20"/>
                <w:szCs w:val="20"/>
              </w:rPr>
            </w:pPr>
          </w:p>
          <w:p w14:paraId="162CAB8C">
            <w:pPr>
              <w:spacing w:line="240" w:lineRule="auto"/>
              <w:rPr>
                <w:rFonts w:ascii="Times New Roman" w:hAnsi="Times New Roman" w:cs="Times New Roman"/>
                <w:sz w:val="20"/>
                <w:szCs w:val="20"/>
              </w:rPr>
            </w:pPr>
          </w:p>
          <w:p w14:paraId="4ABDDB32">
            <w:pPr>
              <w:spacing w:after="120" w:line="240" w:lineRule="auto"/>
              <w:rPr>
                <w:rFonts w:ascii="Times New Roman" w:hAnsi="Times New Roman" w:cs="Times New Roman"/>
                <w:sz w:val="20"/>
                <w:szCs w:val="20"/>
              </w:rPr>
            </w:pPr>
          </w:p>
          <w:p w14:paraId="708EF5FC">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EM, FM</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77FC92C">
            <w:pPr>
              <w:spacing w:after="12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6C56319">
            <w:pPr>
              <w:spacing w:after="120" w:line="240" w:lineRule="auto"/>
              <w:rPr>
                <w:rFonts w:ascii="Times New Roman" w:hAnsi="Times New Roman" w:cs="Times New Roman"/>
                <w:sz w:val="20"/>
                <w:szCs w:val="20"/>
              </w:rPr>
            </w:pPr>
            <w:r>
              <w:rPr>
                <w:rFonts w:ascii="Times New Roman" w:hAnsi="Times New Roman" w:cs="Times New Roman"/>
                <w:sz w:val="20"/>
                <w:szCs w:val="20"/>
              </w:rPr>
              <w:t>Pasākuma, kas tiks īstenots tikai Austrumu pierobežā, finansējums:</w:t>
            </w:r>
          </w:p>
          <w:p w14:paraId="5D77729F">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21 500 000 </w:t>
            </w:r>
            <w:r>
              <w:rPr>
                <w:rFonts w:ascii="Times New Roman" w:hAnsi="Times New Roman" w:cs="Times New Roman"/>
                <w:i/>
                <w:iCs/>
                <w:sz w:val="20"/>
                <w:szCs w:val="20"/>
              </w:rPr>
              <w:t>euro</w:t>
            </w:r>
            <w:r>
              <w:rPr>
                <w:rStyle w:val="20"/>
                <w:rFonts w:ascii="Times New Roman" w:hAnsi="Times New Roman" w:cs="Times New Roman"/>
                <w:sz w:val="20"/>
                <w:szCs w:val="20"/>
              </w:rPr>
              <w:footnoteReference w:id="34"/>
            </w:r>
            <w:r>
              <w:rPr>
                <w:rFonts w:ascii="Times New Roman" w:hAnsi="Times New Roman" w:cs="Times New Roman"/>
                <w:sz w:val="20"/>
                <w:szCs w:val="20"/>
              </w:rPr>
              <w:t xml:space="preserve"> </w:t>
            </w:r>
          </w:p>
          <w:p w14:paraId="4A7534F9">
            <w:pPr>
              <w:spacing w:after="120" w:line="240" w:lineRule="auto"/>
              <w:rPr>
                <w:rFonts w:ascii="Times New Roman" w:hAnsi="Times New Roman" w:cs="Times New Roman"/>
                <w:i/>
                <w:iCs/>
                <w:sz w:val="20"/>
                <w:szCs w:val="20"/>
              </w:rPr>
            </w:pPr>
            <w:r>
              <w:rPr>
                <w:rFonts w:ascii="Times New Roman" w:hAnsi="Times New Roman" w:cs="Times New Roman"/>
                <w:i/>
                <w:iCs/>
                <w:sz w:val="20"/>
                <w:szCs w:val="20"/>
              </w:rPr>
              <w:t>(Valsts budžets)</w:t>
            </w:r>
          </w:p>
          <w:p w14:paraId="0D7E0DED">
            <w:pPr>
              <w:spacing w:after="120" w:line="240" w:lineRule="auto"/>
              <w:rPr>
                <w:rFonts w:ascii="Times New Roman" w:hAnsi="Times New Roman" w:eastAsia="Times New Roman" w:cs="Times New Roman"/>
                <w:sz w:val="20"/>
                <w:szCs w:val="20"/>
              </w:rPr>
            </w:pPr>
          </w:p>
          <w:p w14:paraId="37E8EBEE">
            <w:pPr>
              <w:spacing w:after="120" w:line="240" w:lineRule="auto"/>
              <w:rPr>
                <w:rFonts w:ascii="Times New Roman" w:hAnsi="Times New Roman" w:eastAsia="Times New Roman" w:cs="Times New Roman"/>
                <w:sz w:val="20"/>
                <w:szCs w:val="20"/>
              </w:rPr>
            </w:pPr>
          </w:p>
        </w:tc>
      </w:tr>
      <w:tr w14:paraId="2FD5EEA1">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5CF55212">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A5A59F9">
            <w:pPr>
              <w:spacing w:line="240" w:lineRule="auto"/>
              <w:jc w:val="both"/>
              <w:rPr>
                <w:rFonts w:ascii="Times New Roman" w:hAnsi="Times New Roman" w:cs="Times New Roman"/>
                <w:sz w:val="20"/>
                <w:szCs w:val="20"/>
              </w:rPr>
            </w:pPr>
            <w:r>
              <w:rPr>
                <w:rFonts w:ascii="Times New Roman" w:hAnsi="Times New Roman" w:cs="Times New Roman"/>
                <w:sz w:val="20"/>
                <w:szCs w:val="20"/>
              </w:rPr>
              <w:t>Vietējās sabiedrības noturīguma stiprināšana, iesaistot NVO – Kompleksas programmas izstrāde un ieviešana Latgales reģionā, kas vērsta uz NVO sektora spēcināšanu kā daļa no visā Latvijā īstenojama pasākuma:</w:t>
            </w:r>
          </w:p>
          <w:p w14:paraId="073A92B5">
            <w:pPr>
              <w:pStyle w:val="52"/>
              <w:numPr>
                <w:ilvl w:val="0"/>
                <w:numId w:val="17"/>
              </w:numPr>
              <w:spacing w:line="240" w:lineRule="auto"/>
              <w:jc w:val="both"/>
              <w:rPr>
                <w:rFonts w:ascii="Times New Roman" w:hAnsi="Times New Roman" w:cs="Times New Roman"/>
                <w:sz w:val="20"/>
                <w:szCs w:val="20"/>
              </w:rPr>
            </w:pPr>
            <w:r>
              <w:rPr>
                <w:rFonts w:ascii="Times New Roman" w:hAnsi="Times New Roman" w:cs="Times New Roman"/>
                <w:sz w:val="20"/>
                <w:szCs w:val="20"/>
              </w:rPr>
              <w:t>Krīzes situāciju “punkti” – tiek aktivizēts nevalstiskais sektors un vietējā sabiedrība</w:t>
            </w:r>
            <w:r>
              <w:rPr>
                <w:rStyle w:val="20"/>
                <w:rFonts w:ascii="Times New Roman" w:hAnsi="Times New Roman" w:cs="Times New Roman"/>
                <w:sz w:val="20"/>
                <w:szCs w:val="20"/>
              </w:rPr>
              <w:footnoteReference w:id="35"/>
            </w:r>
            <w:r>
              <w:rPr>
                <w:rFonts w:ascii="Times New Roman" w:hAnsi="Times New Roman" w:cs="Times New Roman"/>
                <w:sz w:val="20"/>
                <w:szCs w:val="20"/>
              </w:rPr>
              <w:t>.  Vietējās nevalstiskās organizācijas kalpo par kontaktpunktu krīzes situācijās, ir nepieciešamā apmācība par rīcību krīzes situācijās, palīdzības sniegšanu, sabiedrības organizēšanu.</w:t>
            </w:r>
          </w:p>
          <w:p w14:paraId="6D1AD6C9">
            <w:pPr>
              <w:pStyle w:val="52"/>
              <w:numPr>
                <w:ilvl w:val="0"/>
                <w:numId w:val="17"/>
              </w:numPr>
              <w:spacing w:line="240" w:lineRule="auto"/>
              <w:jc w:val="both"/>
              <w:rPr>
                <w:rFonts w:ascii="Times New Roman" w:hAnsi="Times New Roman" w:cs="Times New Roman"/>
                <w:sz w:val="20"/>
                <w:szCs w:val="20"/>
              </w:rPr>
            </w:pPr>
            <w:r>
              <w:rPr>
                <w:rFonts w:ascii="Times New Roman" w:hAnsi="Times New Roman" w:cs="Times New Roman"/>
                <w:sz w:val="20"/>
                <w:szCs w:val="20"/>
              </w:rPr>
              <w:t>Latgales NVO nepārtrauktas darbības atbalsts interešu aizstāvības, pilsoniskā dialoga un sadarbības sekmēšanai.</w:t>
            </w:r>
          </w:p>
          <w:p w14:paraId="39AEBD3A">
            <w:pPr>
              <w:spacing w:line="240" w:lineRule="auto"/>
              <w:rPr>
                <w:rFonts w:ascii="Times New Roman" w:hAnsi="Times New Roman" w:cs="Times New Roman"/>
                <w:b/>
                <w:bCs/>
                <w:sz w:val="20"/>
                <w:szCs w:val="20"/>
              </w:rPr>
            </w:pPr>
            <w:r>
              <w:rPr>
                <w:rFonts w:ascii="Times New Roman" w:hAnsi="Times New Roman" w:cs="Times New Roman"/>
                <w:b/>
                <w:bCs/>
                <w:sz w:val="20"/>
                <w:szCs w:val="20"/>
              </w:rPr>
              <w:t>Pasākumam ir daļēji piešķirts nepieciešamais finansējums, attiecīgi pasākums ir norādīts arī 3.pielikumā.</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7F9E3C99">
            <w:pPr>
              <w:spacing w:line="240" w:lineRule="auto"/>
              <w:jc w:val="both"/>
              <w:rPr>
                <w:rFonts w:ascii="Times New Roman" w:hAnsi="Times New Roman" w:cs="Times New Roman"/>
                <w:sz w:val="20"/>
                <w:szCs w:val="20"/>
              </w:rPr>
            </w:pPr>
            <w:r>
              <w:rPr>
                <w:rFonts w:ascii="Times New Roman" w:hAnsi="Times New Roman" w:cs="Times New Roman"/>
                <w:sz w:val="20"/>
                <w:szCs w:val="20"/>
              </w:rPr>
              <w:t>Sekmēta iedzīvotāju sadarbība, solidaritāte un savstarpēja uzticēšanās.</w:t>
            </w:r>
          </w:p>
          <w:p w14:paraId="7487B450">
            <w:pPr>
              <w:spacing w:line="240" w:lineRule="auto"/>
              <w:jc w:val="both"/>
              <w:rPr>
                <w:rFonts w:ascii="Times New Roman" w:hAnsi="Times New Roman" w:cs="Times New Roman"/>
                <w:sz w:val="20"/>
                <w:szCs w:val="20"/>
              </w:rPr>
            </w:pPr>
            <w:r>
              <w:rPr>
                <w:rFonts w:ascii="Times New Roman" w:hAnsi="Times New Roman" w:cs="Times New Roman"/>
                <w:sz w:val="20"/>
                <w:szCs w:val="20"/>
              </w:rPr>
              <w:t>Nodrošināts atbalsts aktivitātēm, kas ietver pilsoniskās līdzdalības, pilsoniskās izglītības, interešu aizstāvības un sabiedrības izpratnes par demokrātiskiem procesiem valstī, brīvprātīgā darba, filantropijas un citu svarīgu demokrātisku un sociālu kopienu veicināšanas pasākumus.</w:t>
            </w:r>
          </w:p>
          <w:p w14:paraId="151D4F49">
            <w:pPr>
              <w:spacing w:line="240" w:lineRule="auto"/>
              <w:jc w:val="both"/>
              <w:rPr>
                <w:rFonts w:ascii="Times New Roman" w:hAnsi="Times New Roman" w:cs="Times New Roman"/>
                <w:sz w:val="20"/>
                <w:szCs w:val="20"/>
              </w:rPr>
            </w:pPr>
            <w:r>
              <w:rPr>
                <w:rFonts w:ascii="Times New Roman" w:hAnsi="Times New Roman" w:cs="Times New Roman"/>
                <w:sz w:val="20"/>
                <w:szCs w:val="20"/>
              </w:rPr>
              <w:t>Veicināta pilsoniskās sabiedrības attīstība un ilgtspēja Latgales reģionā.</w:t>
            </w:r>
          </w:p>
          <w:p w14:paraId="20775E7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Īstenota mērķtiecīga pilsoniskās sabiedrības spēcināšana Latgales reģionā.</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E70B961">
            <w:pPr>
              <w:spacing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65847B27">
            <w:pPr>
              <w:spacing w:line="240" w:lineRule="auto"/>
              <w:jc w:val="both"/>
              <w:rPr>
                <w:rFonts w:ascii="Times New Roman" w:hAnsi="Times New Roman" w:cs="Times New Roman"/>
                <w:sz w:val="20"/>
                <w:szCs w:val="20"/>
              </w:rPr>
            </w:pPr>
            <w:r>
              <w:rPr>
                <w:rFonts w:ascii="Times New Roman" w:hAnsi="Times New Roman" w:cs="Times New Roman"/>
                <w:sz w:val="20"/>
                <w:szCs w:val="20"/>
              </w:rPr>
              <w:t>Katru gadu NVO fonda ietvaros sniegts pielāgots atbalsts (atbalsts, kas pieejams dažādām mērķa grupām un dažāda profila organizācijām) vismaz 75 nevalstisko organizāciju projektiem</w:t>
            </w:r>
            <w:r>
              <w:rPr>
                <w:rStyle w:val="20"/>
                <w:rFonts w:ascii="Times New Roman" w:hAnsi="Times New Roman" w:cs="Times New Roman"/>
                <w:sz w:val="20"/>
                <w:szCs w:val="20"/>
              </w:rPr>
              <w:footnoteReference w:id="36"/>
            </w:r>
            <w:r>
              <w:rPr>
                <w:rFonts w:ascii="Times New Roman" w:hAnsi="Times New Roman" w:cs="Times New Roman"/>
                <w:sz w:val="20"/>
                <w:szCs w:val="20"/>
              </w:rPr>
              <w:t>*</w:t>
            </w:r>
          </w:p>
          <w:p w14:paraId="26757ADC">
            <w:pPr>
              <w:spacing w:line="240" w:lineRule="auto"/>
              <w:jc w:val="both"/>
              <w:rPr>
                <w:rFonts w:ascii="Times New Roman" w:hAnsi="Times New Roman" w:cs="Times New Roman"/>
                <w:sz w:val="20"/>
                <w:szCs w:val="20"/>
              </w:rPr>
            </w:pPr>
            <w:r>
              <w:rPr>
                <w:rFonts w:ascii="Times New Roman" w:hAnsi="Times New Roman" w:cs="Times New Roman"/>
                <w:sz w:val="20"/>
                <w:szCs w:val="20"/>
              </w:rPr>
              <w:t>Īstenota mērķtiecīga pilsoniskās sabiedrības attīstības politika, pilsoniskās sabiedrības stiprināšanai.*</w:t>
            </w:r>
          </w:p>
          <w:p w14:paraId="03F70EC9">
            <w:pPr>
              <w:spacing w:line="240" w:lineRule="auto"/>
              <w:jc w:val="both"/>
              <w:rPr>
                <w:rFonts w:ascii="Times New Roman" w:hAnsi="Times New Roman" w:cs="Times New Roman"/>
                <w:sz w:val="20"/>
                <w:szCs w:val="20"/>
              </w:rPr>
            </w:pPr>
            <w:r>
              <w:rPr>
                <w:rFonts w:ascii="Times New Roman" w:hAnsi="Times New Roman" w:cs="Times New Roman"/>
                <w:sz w:val="20"/>
                <w:szCs w:val="20"/>
              </w:rPr>
              <w:t>Sekmēta ilgtspējīga NVO attīstība Latvijā**</w:t>
            </w:r>
          </w:p>
          <w:p w14:paraId="37FEE5B9">
            <w:pPr>
              <w:spacing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48BFC698">
            <w:pPr>
              <w:spacing w:line="240" w:lineRule="auto"/>
              <w:jc w:val="both"/>
              <w:rPr>
                <w:rFonts w:ascii="Times New Roman" w:hAnsi="Times New Roman" w:cs="Times New Roman"/>
                <w:sz w:val="20"/>
                <w:szCs w:val="20"/>
              </w:rPr>
            </w:pPr>
            <w:r>
              <w:rPr>
                <w:rFonts w:ascii="Times New Roman" w:hAnsi="Times New Roman" w:cs="Times New Roman"/>
                <w:sz w:val="20"/>
                <w:szCs w:val="20"/>
              </w:rPr>
              <w:t>Katru gadu vismaz 25 nevalstisko organizāciju projektiem sniegts pielāgots atbalsts (atbalsts, kas pieejams dažādām mērķa grupām un dažāda profila organizācijām)*</w:t>
            </w:r>
          </w:p>
          <w:p w14:paraId="00328DA3">
            <w:pPr>
              <w:spacing w:line="240" w:lineRule="auto"/>
              <w:jc w:val="both"/>
              <w:rPr>
                <w:rFonts w:ascii="Times New Roman" w:hAnsi="Times New Roman" w:cs="Times New Roman"/>
                <w:sz w:val="20"/>
                <w:szCs w:val="20"/>
              </w:rPr>
            </w:pPr>
            <w:r>
              <w:rPr>
                <w:rFonts w:ascii="Times New Roman" w:hAnsi="Times New Roman" w:cs="Times New Roman"/>
                <w:sz w:val="20"/>
                <w:szCs w:val="20"/>
              </w:rPr>
              <w:t>Sekmēta ilgtspējīga NVO attīstība Latgalē**</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2E706694">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KM, VK, IeM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91C16BB">
            <w:pPr>
              <w:spacing w:after="120" w:line="240" w:lineRule="auto"/>
              <w:jc w:val="center"/>
              <w:rPr>
                <w:rFonts w:ascii="Times New Roman" w:hAnsi="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5A0D96D">
            <w:pPr>
              <w:spacing w:after="12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31.12.2026.</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6C20E19">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r>
              <w:rPr>
                <w:rStyle w:val="20"/>
                <w:rFonts w:ascii="Times New Roman" w:hAnsi="Times New Roman" w:eastAsia="Times New Roman" w:cs="Times New Roman"/>
                <w:sz w:val="20"/>
                <w:szCs w:val="20"/>
              </w:rPr>
              <w:footnoteReference w:id="37"/>
            </w:r>
            <w:r>
              <w:rPr>
                <w:rFonts w:ascii="Times New Roman" w:hAnsi="Times New Roman" w:eastAsia="Times New Roman" w:cs="Times New Roman"/>
                <w:sz w:val="20"/>
                <w:szCs w:val="20"/>
              </w:rPr>
              <w:t xml:space="preserve">: </w:t>
            </w:r>
          </w:p>
          <w:p w14:paraId="0DA3DDAE">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2 500 000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/gadā jeb 7 500 000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plāna īstenošanas periodam</w:t>
            </w:r>
          </w:p>
          <w:p w14:paraId="627C14C8">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Austrumu pierobežai noteikts finansējuma apjoms nav iezīmēts</w:t>
            </w:r>
          </w:p>
          <w:p w14:paraId="4D361BD1">
            <w:pPr>
              <w:spacing w:after="120" w:line="240" w:lineRule="auto"/>
              <w:rPr>
                <w:rFonts w:ascii="Times New Roman" w:hAnsi="Times New Roman" w:cs="Times New Roman"/>
                <w:i/>
                <w:iCs/>
                <w:sz w:val="20"/>
                <w:szCs w:val="20"/>
              </w:rPr>
            </w:pPr>
            <w:r>
              <w:rPr>
                <w:rFonts w:ascii="Times New Roman" w:hAnsi="Times New Roman" w:eastAsia="Times New Roman" w:cs="Times New Roman"/>
                <w:i/>
                <w:iCs/>
                <w:sz w:val="20"/>
                <w:szCs w:val="20"/>
              </w:rPr>
              <w:t>(Valsts budžets)</w:t>
            </w:r>
          </w:p>
        </w:tc>
      </w:tr>
      <w:tr w14:paraId="18443663">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3D3057D4">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2A6227B">
            <w:pPr>
              <w:spacing w:line="240" w:lineRule="auto"/>
              <w:rPr>
                <w:rFonts w:ascii="Times New Roman" w:hAnsi="Times New Roman" w:cs="Times New Roman"/>
                <w:sz w:val="20"/>
                <w:szCs w:val="20"/>
              </w:rPr>
            </w:pPr>
            <w:r>
              <w:rPr>
                <w:rFonts w:ascii="Times New Roman" w:hAnsi="Times New Roman" w:eastAsia="Calibri" w:cs="Times New Roman"/>
                <w:kern w:val="0"/>
                <w:sz w:val="20"/>
                <w:szCs w:val="20"/>
                <w:lang w:eastAsia="zh-CN" w:bidi="hi-IN"/>
                <w14:ligatures w14:val="none"/>
              </w:rPr>
              <w:t>Jauniesaukto Valsts aizsardzības dienesta karavīru izvietošana Latgalē un VAD augstas gatavības rezerves bataljona izveide pēc 2028. gada</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3A85809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Plānots, ka 2025. gada jūlijā Zemessardzes 36. kaujas atbalsta bataljonā Lūznavā 11 mēnešu ilgu dienestu uzsāks 150 VAD karavīri. No 2027. gada plānots, ka VAD apmācības tiks īstenotas arī militārajā bāzē “Daugavpils’’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EA29AF1">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Pasākuma, kas tiks īstenots tikai Austrumu pierobežā, rezultāti:</w:t>
            </w:r>
            <w:r>
              <w:rPr>
                <w:rFonts w:ascii="Times New Roman" w:hAnsi="Times New Roman" w:cs="Times New Roman"/>
                <w:sz w:val="20"/>
                <w:szCs w:val="20"/>
              </w:rPr>
              <w:t xml:space="preserve"> </w:t>
            </w:r>
          </w:p>
          <w:p w14:paraId="2F1ECC9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550 karavīri, kas būs izvietoti Latgalē, pēc VAD pabeigšanas tiks ieskaitīti NBS augstas gatavības rezervē*</w:t>
            </w:r>
          </w:p>
          <w:p w14:paraId="4B9CA4A9">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Izveidots un nokomplektēts augstas gatavības rezerves bataljons**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5365CA60">
            <w:pPr>
              <w:spacing w:after="12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AiM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3119CB2">
            <w:pPr>
              <w:spacing w:after="120" w:line="240" w:lineRule="auto"/>
              <w:jc w:val="center"/>
              <w:rPr>
                <w:rFonts w:ascii="Times New Roman" w:hAnsi="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5B507A5">
            <w:pPr>
              <w:spacing w:after="12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2028. gads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CF31A84">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Pasākuma, kas tiks īstenots tikai Austrumu pierobežā, finansējums:</w:t>
            </w:r>
          </w:p>
          <w:p w14:paraId="354CEEB4">
            <w:pPr>
              <w:spacing w:line="240" w:lineRule="auto"/>
              <w:rPr>
                <w:rFonts w:ascii="Times New Roman" w:hAnsi="Times New Roman" w:cs="Times New Roman"/>
                <w:sz w:val="20"/>
                <w:szCs w:val="20"/>
              </w:rPr>
            </w:pPr>
            <w:r>
              <w:rPr>
                <w:rFonts w:ascii="Times New Roman" w:hAnsi="Times New Roman" w:eastAsia="Times New Roman" w:cs="Times New Roman"/>
                <w:sz w:val="20"/>
                <w:szCs w:val="20"/>
              </w:rPr>
              <w:t>AiM esošā budžeta ietvaros</w:t>
            </w:r>
            <w:r>
              <w:rPr>
                <w:rStyle w:val="20"/>
                <w:rFonts w:ascii="Times New Roman" w:hAnsi="Times New Roman" w:cs="Times New Roman"/>
                <w:sz w:val="20"/>
                <w:szCs w:val="20"/>
              </w:rPr>
              <w:footnoteReference w:id="38"/>
            </w:r>
          </w:p>
          <w:p w14:paraId="636E446F">
            <w:pPr>
              <w:spacing w:after="120" w:line="240" w:lineRule="auto"/>
              <w:rPr>
                <w:rFonts w:ascii="Times New Roman" w:hAnsi="Times New Roman" w:eastAsia="Times New Roman" w:cs="Times New Roman"/>
                <w:sz w:val="20"/>
                <w:szCs w:val="20"/>
              </w:rPr>
            </w:pPr>
            <w:r>
              <w:rPr>
                <w:rFonts w:ascii="Times New Roman" w:hAnsi="Times New Roman" w:cs="Times New Roman"/>
                <w:i/>
                <w:iCs/>
                <w:sz w:val="20"/>
                <w:szCs w:val="20"/>
              </w:rPr>
              <w:t>(Valsts budžets)</w:t>
            </w:r>
          </w:p>
        </w:tc>
      </w:tr>
      <w:tr w14:paraId="412CF566">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0BE72233">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D17B4C7">
            <w:pPr>
              <w:spacing w:line="240" w:lineRule="auto"/>
              <w:rPr>
                <w:rFonts w:ascii="Times New Roman" w:hAnsi="Times New Roman" w:cs="Times New Roman"/>
                <w:sz w:val="20"/>
                <w:szCs w:val="20"/>
              </w:rPr>
            </w:pPr>
            <w:r>
              <w:rPr>
                <w:rFonts w:ascii="Times New Roman" w:hAnsi="Times New Roman" w:cs="Times New Roman"/>
                <w:sz w:val="20"/>
                <w:szCs w:val="20"/>
              </w:rPr>
              <w:t>Atbalsts ES Austrumu pierobežas drošības</w:t>
            </w:r>
            <w:r>
              <w:rPr>
                <w:rStyle w:val="20"/>
                <w:rFonts w:ascii="Times New Roman" w:hAnsi="Times New Roman" w:cs="Times New Roman"/>
                <w:sz w:val="20"/>
                <w:szCs w:val="20"/>
              </w:rPr>
              <w:footnoteReference w:id="39"/>
            </w:r>
            <w:r>
              <w:rPr>
                <w:rFonts w:ascii="Times New Roman" w:hAnsi="Times New Roman" w:cs="Times New Roman"/>
                <w:sz w:val="20"/>
                <w:szCs w:val="20"/>
              </w:rPr>
              <w:t xml:space="preserve"> un konkurētspējas stiprināšanai, nodrošinot iespēju piesaistīt finansējumu infrastruktūras attīstībai, kas sekmē pieejamību sabiedrībai būtiskiem ikdienas pakalpojumiem (izglītība, veselība, kultūra u.c.) un vienlaikus sekmē civilo un militāro aizsardzību – sagatavošanās darbi programmas izveidei</w:t>
            </w:r>
          </w:p>
          <w:p w14:paraId="517EFD40">
            <w:pPr>
              <w:spacing w:line="240" w:lineRule="auto"/>
              <w:rPr>
                <w:rFonts w:ascii="Times New Roman" w:hAnsi="Times New Roman" w:eastAsia="Calibri" w:cs="Times New Roman"/>
                <w:kern w:val="0"/>
                <w:sz w:val="20"/>
                <w:szCs w:val="20"/>
                <w:lang w:eastAsia="zh-CN" w:bidi="hi-IN"/>
                <w14:ligatures w14:val="none"/>
              </w:rPr>
            </w:pP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0FC65A9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 Sagatavots kartējums ar divējādas lietojamības mobilitātes un pakalpojumu infrastruktūras objektu attīstību Latvijā ES Austrumu pierobežas drošības un konkurētspējas stiprināšanai, iekļaujot tajā šo projektu ieviešanai nepieciešamo finansējuma apjomu</w:t>
            </w:r>
          </w:p>
          <w:p w14:paraId="478F151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 Nodrošināts ES mēroga atbalsts divējādas lietojamības infrastruktūras attīstībai</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72A292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tiks īstenots tikai Austrumu pierobežā, rezultāti:</w:t>
            </w:r>
          </w:p>
          <w:p w14:paraId="077A2779">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Izveidota atsevišķa ES mēroga atbalsta programma divējādas lietojamības infrastruktūras attīstībai*</w:t>
            </w:r>
          </w:p>
          <w:p w14:paraId="7449000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Piesaistītas privātās investīcijas Latvijas Austrumu pierobežā, pārsniedzot 2022., 2023. un 2024.gadā piesaistītās investīcijas gada griezumā**</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2F9414A5">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EE8C5A5">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AM, IEM, SM, ZM, KEM, IZM, LM, VM, KM, LPR, VPR, ZPR, pašvaldības</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2F344A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1.darbības rezultāts: 2025.gads</w:t>
            </w:r>
          </w:p>
          <w:p w14:paraId="699C875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2.darbības rezultāts: 2025.-2027.gads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501E170">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Pasākuma, kas tiks īstenots tikai Austrumu pierobežā, finansējums:</w:t>
            </w:r>
          </w:p>
          <w:p w14:paraId="243259AF">
            <w:pPr>
              <w:spacing w:line="240" w:lineRule="auto"/>
              <w:rPr>
                <w:rFonts w:ascii="Times New Roman" w:hAnsi="Times New Roman" w:cs="Times New Roman"/>
                <w:sz w:val="20"/>
                <w:szCs w:val="20"/>
              </w:rPr>
            </w:pPr>
            <w:r>
              <w:rPr>
                <w:rFonts w:ascii="Times New Roman" w:hAnsi="Times New Roman" w:eastAsia="Times New Roman" w:cs="Times New Roman"/>
                <w:sz w:val="20"/>
                <w:szCs w:val="20"/>
              </w:rPr>
              <w:t>VARAM esošā budžeta ietvaros</w:t>
            </w:r>
            <w:r>
              <w:rPr>
                <w:rStyle w:val="20"/>
                <w:rFonts w:ascii="Times New Roman" w:hAnsi="Times New Roman" w:cs="Times New Roman"/>
                <w:sz w:val="20"/>
                <w:szCs w:val="20"/>
              </w:rPr>
              <w:footnoteReference w:id="40"/>
            </w:r>
            <w:r>
              <w:rPr>
                <w:rFonts w:ascii="Times New Roman" w:hAnsi="Times New Roman" w:cs="Times New Roman"/>
                <w:sz w:val="20"/>
                <w:szCs w:val="20"/>
              </w:rPr>
              <w:t xml:space="preserve"> </w:t>
            </w:r>
          </w:p>
          <w:p w14:paraId="3AA759CE">
            <w:pPr>
              <w:spacing w:line="240" w:lineRule="auto"/>
              <w:rPr>
                <w:rFonts w:ascii="Times New Roman" w:hAnsi="Times New Roman" w:cs="Times New Roman"/>
                <w:sz w:val="20"/>
                <w:szCs w:val="20"/>
              </w:rPr>
            </w:pPr>
            <w:r>
              <w:rPr>
                <w:rFonts w:ascii="Times New Roman" w:hAnsi="Times New Roman" w:cs="Times New Roman"/>
                <w:i/>
                <w:iCs/>
                <w:sz w:val="20"/>
                <w:szCs w:val="20"/>
              </w:rPr>
              <w:t>(Valsts budžets)</w:t>
            </w:r>
          </w:p>
        </w:tc>
      </w:tr>
      <w:tr w14:paraId="4452A1A5">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74CF216B">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941FE21">
            <w:pPr>
              <w:spacing w:line="240" w:lineRule="auto"/>
              <w:jc w:val="both"/>
              <w:rPr>
                <w:rFonts w:ascii="Times New Roman" w:hAnsi="Times New Roman" w:cs="Times New Roman"/>
                <w:sz w:val="20"/>
                <w:szCs w:val="20"/>
              </w:rPr>
            </w:pPr>
            <w:r>
              <w:rPr>
                <w:rFonts w:ascii="Times New Roman" w:hAnsi="Times New Roman" w:cs="Times New Roman"/>
                <w:sz w:val="20"/>
                <w:szCs w:val="20"/>
              </w:rPr>
              <w:t>Infrastruktūras attīstības projektu īstenošana un dienestu reaģēšanas spēju stiprināšana: izbūvēti katastrofas pārvaldīšanas centri, tajā skaitā reģionā:</w:t>
            </w:r>
          </w:p>
          <w:p w14:paraId="03BF265D">
            <w:pPr>
              <w:pStyle w:val="52"/>
              <w:numPr>
                <w:ilvl w:val="0"/>
                <w:numId w:val="18"/>
              </w:numPr>
              <w:spacing w:line="240" w:lineRule="auto"/>
              <w:jc w:val="both"/>
              <w:rPr>
                <w:rFonts w:ascii="Times New Roman" w:hAnsi="Times New Roman" w:eastAsia="Calibri" w:cs="Times New Roman"/>
                <w:kern w:val="0"/>
                <w:sz w:val="20"/>
                <w:szCs w:val="20"/>
                <w14:ligatures w14:val="none"/>
              </w:rPr>
            </w:pPr>
            <w:r>
              <w:rPr>
                <w:rFonts w:ascii="Times New Roman" w:hAnsi="Times New Roman" w:eastAsia="Calibri" w:cs="Times New Roman"/>
                <w:kern w:val="0"/>
                <w:sz w:val="20"/>
                <w:szCs w:val="20"/>
                <w14:ligatures w14:val="none"/>
              </w:rPr>
              <w:t>augstas gatavības projektu īstenošanas ietvaros (Dagda, Ilūkste);</w:t>
            </w:r>
          </w:p>
          <w:p w14:paraId="572F6040">
            <w:pPr>
              <w:pStyle w:val="52"/>
              <w:numPr>
                <w:ilvl w:val="0"/>
                <w:numId w:val="18"/>
              </w:numPr>
              <w:spacing w:line="240" w:lineRule="auto"/>
              <w:jc w:val="both"/>
              <w:rPr>
                <w:rFonts w:ascii="Times New Roman" w:hAnsi="Times New Roman" w:cs="Times New Roman"/>
                <w:sz w:val="20"/>
                <w:szCs w:val="20"/>
              </w:rPr>
            </w:pPr>
            <w:r>
              <w:rPr>
                <w:rFonts w:ascii="Times New Roman" w:hAnsi="Times New Roman" w:eastAsia="Calibri" w:cs="Times New Roman"/>
                <w:kern w:val="0"/>
                <w:sz w:val="20"/>
                <w:szCs w:val="20"/>
                <w14:ligatures w14:val="none"/>
              </w:rPr>
              <w:t>Atveseļošanas un noturības mehānisma (ANM) plāna ietvaros (Daugavpils, Līvāni, Viļāni, Alūksne);</w:t>
            </w:r>
          </w:p>
          <w:p w14:paraId="4F8C665E">
            <w:pPr>
              <w:pStyle w:val="52"/>
              <w:numPr>
                <w:ilvl w:val="0"/>
                <w:numId w:val="18"/>
              </w:numPr>
              <w:spacing w:line="240" w:lineRule="auto"/>
              <w:jc w:val="both"/>
              <w:rPr>
                <w:rFonts w:ascii="Times New Roman" w:hAnsi="Times New Roman" w:cs="Times New Roman"/>
                <w:sz w:val="20"/>
                <w:szCs w:val="20"/>
              </w:rPr>
            </w:pPr>
            <w:r>
              <w:rPr>
                <w:rFonts w:ascii="Times New Roman" w:hAnsi="Times New Roman" w:eastAsia="Calibri" w:cs="Times New Roman"/>
                <w:kern w:val="0"/>
                <w:sz w:val="20"/>
                <w:szCs w:val="20"/>
                <w14:ligatures w14:val="none"/>
              </w:rPr>
              <w:t>drošības stiprināšanas pasākumu ietvaros (Preiļi)</w:t>
            </w:r>
          </w:p>
          <w:p w14:paraId="58400C4C">
            <w:pPr>
              <w:spacing w:line="240" w:lineRule="auto"/>
              <w:jc w:val="both"/>
              <w:rPr>
                <w:rFonts w:ascii="Times New Roman" w:hAnsi="Times New Roman" w:cs="Times New Roman"/>
                <w:b/>
                <w:sz w:val="20"/>
                <w:szCs w:val="20"/>
              </w:rPr>
            </w:pPr>
            <w:r>
              <w:rPr>
                <w:rFonts w:ascii="Times New Roman" w:hAnsi="Times New Roman" w:cs="Times New Roman"/>
                <w:b/>
                <w:sz w:val="20"/>
                <w:szCs w:val="20"/>
              </w:rPr>
              <w:t>Finansējums ir daļēji piešķirts, pasākums ietverts arī 3.pielikumā - pasākuma īstenošana ir atkarīga no finansējuma pieejamības visu katastrofu pārvaldības centru būvniecībai.</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2C24ABE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7 jauni katastrofu pārraudzības centri Austrumu pierobežā (pavisam Austrumu pierobežā plānoti 11, visā Latvijā – 34)</w:t>
            </w:r>
          </w:p>
          <w:p w14:paraId="15E2C2A3">
            <w:pPr>
              <w:spacing w:after="120" w:line="240" w:lineRule="auto"/>
              <w:jc w:val="both"/>
              <w:rPr>
                <w:rFonts w:ascii="Times New Roman" w:hAnsi="Times New Roman" w:cs="Times New Roman"/>
                <w:sz w:val="20"/>
                <w:szCs w:val="20"/>
              </w:rPr>
            </w:pPr>
          </w:p>
          <w:p w14:paraId="3751B045">
            <w:pPr>
              <w:spacing w:after="120" w:line="240" w:lineRule="auto"/>
              <w:jc w:val="both"/>
              <w:rPr>
                <w:rFonts w:ascii="Times New Roman" w:hAnsi="Times New Roman" w:cs="Times New Roman"/>
                <w:sz w:val="20"/>
                <w:szCs w:val="20"/>
              </w:rPr>
            </w:pP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3E424B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 (vienots modelis visā Latvijā):</w:t>
            </w:r>
          </w:p>
          <w:p w14:paraId="7261CF5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Palielinās glābšanas darbos izmantojamās tehnikas apjoms (glābšanas laivas, kvadricikli, ūdensvedēju cisternas)*</w:t>
            </w:r>
          </w:p>
          <w:p w14:paraId="2D5CC37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Samazinās VUGD un NMPD ierašanās laiks notikuma vietā**</w:t>
            </w:r>
          </w:p>
          <w:p w14:paraId="5AC31A79">
            <w:pPr>
              <w:spacing w:after="120" w:line="240" w:lineRule="auto"/>
              <w:jc w:val="both"/>
              <w:rPr>
                <w:rFonts w:ascii="Times New Roman" w:hAnsi="Times New Roman" w:cs="Times New Roman"/>
                <w:sz w:val="20"/>
                <w:szCs w:val="20"/>
              </w:rPr>
            </w:pP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09DB6BED">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IeM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1C82004">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NVA, VUGD, VP, PMLP, IeM IC, VSC, VRS, NMPD</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58106C8">
            <w:pPr>
              <w:spacing w:after="120" w:line="240" w:lineRule="auto"/>
              <w:rPr>
                <w:rFonts w:ascii="Times New Roman" w:hAnsi="Times New Roman" w:cs="Times New Roman"/>
                <w:sz w:val="20"/>
                <w:szCs w:val="20"/>
              </w:rPr>
            </w:pPr>
            <w:r>
              <w:rPr>
                <w:rFonts w:ascii="Times New Roman" w:hAnsi="Times New Roman" w:eastAsia="Times New Roman" w:cs="Times New Roman"/>
                <w:sz w:val="20"/>
                <w:szCs w:val="20"/>
              </w:rPr>
              <w:t>Individuāli katram centram atkarībā no projekta gatavības pakāpes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1EDEB84">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nepieciešamais finansējums visā Latvijā:</w:t>
            </w:r>
          </w:p>
          <w:p w14:paraId="0F70FE06">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255 868 931 euro</w:t>
            </w:r>
          </w:p>
          <w:p w14:paraId="7CCDE233">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nepieciešamais finansējums Austrumu pierobežā:</w:t>
            </w:r>
          </w:p>
          <w:p w14:paraId="016BBD4F">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72 370 589 euro</w:t>
            </w:r>
          </w:p>
          <w:p w14:paraId="1D4A4011">
            <w:pPr>
              <w:spacing w:line="240" w:lineRule="auto"/>
              <w:rPr>
                <w:rFonts w:ascii="Times New Roman" w:hAnsi="Times New Roman" w:cs="Times New Roman"/>
                <w:sz w:val="20"/>
                <w:szCs w:val="20"/>
              </w:rPr>
            </w:pPr>
            <w:r>
              <w:rPr>
                <w:rFonts w:ascii="Times New Roman" w:hAnsi="Times New Roman" w:eastAsia="Times New Roman" w:cs="Times New Roman"/>
                <w:sz w:val="20"/>
                <w:szCs w:val="20"/>
              </w:rPr>
              <w:t>Kopējais piešķirtais finansējums visā Latvijā</w:t>
            </w:r>
            <w:r>
              <w:rPr>
                <w:rFonts w:ascii="Times New Roman" w:hAnsi="Times New Roman" w:cs="Times New Roman"/>
                <w:sz w:val="20"/>
                <w:szCs w:val="20"/>
              </w:rPr>
              <w:t xml:space="preserve"> 2025.gadā</w:t>
            </w:r>
            <w:r>
              <w:rPr>
                <w:rStyle w:val="20"/>
                <w:rFonts w:ascii="Times New Roman" w:hAnsi="Times New Roman" w:cs="Times New Roman"/>
                <w:sz w:val="20"/>
                <w:szCs w:val="20"/>
              </w:rPr>
              <w:footnoteReference w:id="41"/>
            </w:r>
            <w:r>
              <w:rPr>
                <w:rFonts w:ascii="Times New Roman" w:hAnsi="Times New Roman" w:cs="Times New Roman"/>
                <w:sz w:val="20"/>
                <w:szCs w:val="20"/>
              </w:rPr>
              <w:t>:</w:t>
            </w:r>
          </w:p>
          <w:p w14:paraId="448880C7">
            <w:pPr>
              <w:spacing w:line="240" w:lineRule="auto"/>
              <w:rPr>
                <w:rFonts w:ascii="Times New Roman" w:hAnsi="Times New Roman" w:cs="Times New Roman"/>
                <w:i/>
                <w:iCs/>
                <w:sz w:val="20"/>
                <w:szCs w:val="20"/>
              </w:rPr>
            </w:pPr>
            <w:r>
              <w:rPr>
                <w:rFonts w:ascii="Times New Roman" w:hAnsi="Times New Roman" w:cs="Times New Roman"/>
                <w:sz w:val="20"/>
                <w:szCs w:val="20"/>
              </w:rPr>
              <w:t>63 547 374 </w:t>
            </w:r>
            <w:r>
              <w:rPr>
                <w:rFonts w:ascii="Times New Roman" w:hAnsi="Times New Roman" w:cs="Times New Roman"/>
                <w:i/>
                <w:iCs/>
                <w:sz w:val="20"/>
                <w:szCs w:val="20"/>
              </w:rPr>
              <w:t>euro</w:t>
            </w:r>
          </w:p>
          <w:p w14:paraId="43C124E7">
            <w:pPr>
              <w:spacing w:line="240" w:lineRule="auto"/>
              <w:rPr>
                <w:rFonts w:ascii="Times New Roman" w:hAnsi="Times New Roman" w:cs="Times New Roman"/>
                <w:i/>
                <w:iCs/>
                <w:sz w:val="20"/>
                <w:szCs w:val="20"/>
              </w:rPr>
            </w:pPr>
            <w:r>
              <w:rPr>
                <w:rFonts w:ascii="Times New Roman" w:hAnsi="Times New Roman" w:cs="Times New Roman"/>
                <w:i/>
                <w:iCs/>
                <w:sz w:val="20"/>
                <w:szCs w:val="20"/>
              </w:rPr>
              <w:t xml:space="preserve">Piešķirtais finansējums Austrumu pierobežai 2025.gadam: </w:t>
            </w:r>
          </w:p>
          <w:p w14:paraId="63B1828A">
            <w:pPr>
              <w:spacing w:line="240" w:lineRule="auto"/>
              <w:rPr>
                <w:rFonts w:ascii="Times New Roman" w:hAnsi="Times New Roman" w:cs="Times New Roman"/>
                <w:i/>
                <w:iCs/>
                <w:sz w:val="20"/>
                <w:szCs w:val="20"/>
              </w:rPr>
            </w:pPr>
            <w:r>
              <w:rPr>
                <w:rFonts w:ascii="Times New Roman" w:hAnsi="Times New Roman" w:cs="Times New Roman"/>
                <w:sz w:val="20"/>
                <w:szCs w:val="20"/>
              </w:rPr>
              <w:t>32 478 696</w:t>
            </w:r>
            <w:r>
              <w:rPr>
                <w:rFonts w:ascii="Calibri" w:hAnsi="Calibri" w:cs="Calibri"/>
                <w:color w:val="000000"/>
                <w:lang w:eastAsia="lv-LV"/>
                <w14:ligatures w14:val="none"/>
              </w:rPr>
              <w:t xml:space="preserve"> </w:t>
            </w:r>
            <w:r>
              <w:rPr>
                <w:rFonts w:ascii="Times New Roman" w:hAnsi="Times New Roman" w:cs="Times New Roman"/>
                <w:i/>
                <w:iCs/>
                <w:sz w:val="20"/>
                <w:szCs w:val="20"/>
              </w:rPr>
              <w:t>euro</w:t>
            </w:r>
          </w:p>
          <w:p w14:paraId="2BE9D30F">
            <w:pPr>
              <w:spacing w:line="240" w:lineRule="auto"/>
              <w:rPr>
                <w:rFonts w:ascii="Times New Roman" w:hAnsi="Times New Roman" w:cs="Times New Roman"/>
                <w:sz w:val="20"/>
                <w:szCs w:val="20"/>
              </w:rPr>
            </w:pPr>
            <w:r>
              <w:rPr>
                <w:rFonts w:ascii="Times New Roman" w:hAnsi="Times New Roman" w:cs="Times New Roman"/>
                <w:i/>
                <w:iCs/>
                <w:sz w:val="20"/>
                <w:szCs w:val="20"/>
              </w:rPr>
              <w:t>(ES fondi: Atjaunošanas un noturības mehānisms, valsts budžets: augstas gatavības projekti un drošības stiprināšanas pasākumi)</w:t>
            </w:r>
          </w:p>
        </w:tc>
      </w:tr>
      <w:tr w14:paraId="3563289F">
        <w:tblPrEx>
          <w:tblCellMar>
            <w:top w:w="0" w:type="dxa"/>
            <w:left w:w="10" w:type="dxa"/>
            <w:bottom w:w="0" w:type="dxa"/>
            <w:right w:w="10" w:type="dxa"/>
          </w:tblCellMar>
        </w:tblPrEx>
        <w:trPr>
          <w:gridAfter w:val="1"/>
          <w:wAfter w:w="13" w:type="dxa"/>
          <w:jc w:val="center"/>
        </w:trPr>
        <w:tc>
          <w:tcPr>
            <w:tcW w:w="15446" w:type="dxa"/>
            <w:gridSpan w:val="8"/>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2286826C">
            <w:pPr>
              <w:spacing w:before="60" w:after="120" w:line="240" w:lineRule="auto"/>
              <w:jc w:val="both"/>
              <w:rPr>
                <w:rFonts w:ascii="Times New Roman" w:hAnsi="Times New Roman" w:cs="Times New Roman"/>
                <w:b/>
                <w:sz w:val="20"/>
                <w:szCs w:val="20"/>
              </w:rPr>
            </w:pPr>
            <w:r>
              <w:rPr>
                <w:rFonts w:ascii="Times New Roman" w:hAnsi="Times New Roman" w:cs="Times New Roman"/>
                <w:b/>
                <w:bCs/>
                <w:sz w:val="20"/>
                <w:szCs w:val="20"/>
              </w:rPr>
              <w:t>2. Rīcības virziens</w:t>
            </w:r>
            <w:r>
              <w:rPr>
                <w:rFonts w:ascii="Times New Roman" w:hAnsi="Times New Roman" w:cs="Times New Roman"/>
                <w:b/>
                <w:sz w:val="20"/>
                <w:szCs w:val="20"/>
              </w:rPr>
              <w:t xml:space="preserve"> – ekonomiskā attīstība</w:t>
            </w:r>
            <w:r>
              <w:rPr>
                <w:rStyle w:val="20"/>
                <w:rFonts w:ascii="Times New Roman" w:hAnsi="Times New Roman" w:cs="Times New Roman"/>
                <w:b/>
                <w:sz w:val="20"/>
                <w:szCs w:val="20"/>
              </w:rPr>
              <w:footnoteReference w:id="42"/>
            </w:r>
          </w:p>
          <w:p w14:paraId="193D308E">
            <w:pPr>
              <w:spacing w:before="60" w:after="12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Austrumu pierobežas straujākas izaugsmes veicināšanai un iedzīvotāju labklājības celšanai būtiski ir uz reģiona ekonomikas attīstību vērsti atbalsta pasākumi. Nepieciešams radīt jaunas darbavietas, reģionā izveidojoties vai ienākot jauniem uzņēmumiem vai paplašinoties/attīstoties esošajiem. </w:t>
            </w:r>
          </w:p>
          <w:p w14:paraId="5B7C6511">
            <w:pPr>
              <w:spacing w:before="60" w:after="120" w:line="240" w:lineRule="auto"/>
              <w:jc w:val="both"/>
              <w:rPr>
                <w:rFonts w:ascii="Times New Roman" w:hAnsi="Times New Roman" w:cs="Times New Roman"/>
                <w:bCs/>
                <w:sz w:val="20"/>
                <w:szCs w:val="20"/>
              </w:rPr>
            </w:pPr>
            <w:r>
              <w:rPr>
                <w:rFonts w:ascii="Times New Roman" w:hAnsi="Times New Roman" w:cs="Times New Roman"/>
                <w:bCs/>
                <w:sz w:val="20"/>
                <w:szCs w:val="20"/>
              </w:rPr>
              <w:t>Šajā rīcības virzienā iekļauti vairāki pasākumi uzņēmumu atbalstam, t.sk. turpinot Latgales un Rēzeknes Speciālo ekonomisko zonu (turpmāk – SEZ) sniegtos atbalsta pasākumus uzņēmumiem un stiprinot SEZ kapacitāti, sniedzot atbalstu jaunu darba vietu radīšanai eksportējošos uzņēmumos, paredzot atbalstu 34 mazajiem un vidējiem uzņēmumiem pētniecībai un internacionalizācijai. Tiks īstenots pasākums, kas vērsts uz investīcijām uzņēmējdarbības publiskajā infrastruktūrā industriālo parku un teritoriju attīstīšanai reģionos un citas infrastruktūras uzņēmējdarbības atbalstam finansēšanai, t.sk. Austrumu pierobežā. Atbalsta pasākumos tiks sniegti aizdevumi ar kapitāla atlaidi eksportējošiem komersantiem un aizdevumi produktivitātes kāpināšanai, kā arī starta un izaugsmes aizdevumi. Tāpat tiks sniegts atbalsts energoefektivitātes paaugstināšanai uzņēmējdarbībā.</w:t>
            </w:r>
          </w:p>
          <w:p w14:paraId="4E3E20D4">
            <w:pPr>
              <w:spacing w:before="60" w:after="120" w:line="240" w:lineRule="auto"/>
              <w:jc w:val="both"/>
              <w:rPr>
                <w:rFonts w:ascii="Times New Roman" w:hAnsi="Times New Roman" w:cs="Times New Roman"/>
                <w:bCs/>
                <w:sz w:val="20"/>
                <w:szCs w:val="20"/>
              </w:rPr>
            </w:pPr>
            <w:r>
              <w:rPr>
                <w:rFonts w:ascii="Times New Roman" w:hAnsi="Times New Roman" w:cs="Times New Roman"/>
                <w:bCs/>
                <w:sz w:val="20"/>
                <w:szCs w:val="20"/>
              </w:rPr>
              <w:t>Papildus svarīgs aspekts ir teritoriju sasniedzamība, lai nodrošinātu iedzīvotāju iespējas nokļūt darba vietās un pakalpojumu sniegšanas vietās un uzņēmumu iespējas transportēt izejvielas un/vai saražotās preces vai sniegt pakalpojumus. Līdz ar to ekonomikas rīcības virziena ietvaros tiek iekļauti arī vairāki pasākumi Austrumu pierobežas teritorijas sasniedzamības uzlabošanai, t.sk. aktivitāte ceļu infrastruktūras pirms robežšķērsošanas vietām attīstībai; īstenota 34 km valsts vietējo un reģionālo autoceļu atjaunošana vai pārbūvēšana Latgales plānošanas reģionā. Atbalsta pasākumos tiks iegādāti 18 bezemisiju transportlīdzekļi Austrumu pierobežas pašvaldību vajadzībām.</w:t>
            </w:r>
          </w:p>
          <w:p w14:paraId="407E552F">
            <w:pPr>
              <w:spacing w:before="60" w:after="120" w:line="240" w:lineRule="auto"/>
              <w:jc w:val="both"/>
              <w:rPr>
                <w:rFonts w:ascii="Times New Roman" w:hAnsi="Times New Roman" w:cs="Times New Roman"/>
                <w:bCs/>
                <w:sz w:val="20"/>
                <w:szCs w:val="20"/>
              </w:rPr>
            </w:pPr>
            <w:r>
              <w:rPr>
                <w:rFonts w:ascii="Times New Roman" w:hAnsi="Times New Roman" w:cs="Times New Roman"/>
                <w:bCs/>
                <w:sz w:val="20"/>
                <w:szCs w:val="20"/>
              </w:rPr>
              <w:t>Tāpat šī rīcības virziena ietvaros tiks attīstīti viedās robežas risinājumi (tehnoloģiskās infrastruktūras izbūve uz valsts ārējās sauszemes robežas un transportlīdzekļu elektroniskās rindas vadības sistēmas (e-rinda) izstrāde Pāternieku, Terehovas un Grebņevas robežkontroles punkta šķērsošanai), kā arī tiks veikta publiskās – privātās partnerības (turpmāk – PPP) modeļa izstrāde pieejamu mājokļu būvniecībai ar īres subsīdijas mehānismu.</w:t>
            </w:r>
          </w:p>
          <w:p w14:paraId="4996C2B1">
            <w:pPr>
              <w:spacing w:before="60" w:after="120" w:line="240" w:lineRule="auto"/>
              <w:jc w:val="both"/>
              <w:rPr>
                <w:rFonts w:ascii="Times New Roman" w:hAnsi="Times New Roman" w:cs="Times New Roman"/>
                <w:bCs/>
                <w:sz w:val="20"/>
                <w:szCs w:val="20"/>
              </w:rPr>
            </w:pPr>
            <w:r>
              <w:rPr>
                <w:rFonts w:ascii="Times New Roman" w:hAnsi="Times New Roman" w:cs="Times New Roman"/>
                <w:bCs/>
                <w:sz w:val="20"/>
                <w:szCs w:val="20"/>
              </w:rPr>
              <w:t>Papildus tiks sniegts atbalsts uzņēmējdarbības veicināšanai lauksaimnieciskās darbības un nelauksaimnieciskas uzņēmējdarbības attīstībai, kā arī veikts ieguldījumus ilgtspēju sekmējošam ienākumu pamatatbalstam novados ar īpašiem apstākļiem tās īstenojamo pasākumu ietvaros, sniedzot atbalstu vairāk kā 10 000 saimniecībām.</w:t>
            </w:r>
          </w:p>
          <w:p w14:paraId="37B7D93E">
            <w:pPr>
              <w:spacing w:before="60" w:after="12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Tiks īstenoti pasākumi remigrācijas veicināšanai (95 atgriezušās personas gadā), kas ir būtiska Austrumu pierobežas depopulācijas samazināšanai. </w:t>
            </w:r>
          </w:p>
          <w:p w14:paraId="2315EA4E">
            <w:pPr>
              <w:spacing w:before="60" w:after="120" w:line="240" w:lineRule="auto"/>
              <w:jc w:val="both"/>
              <w:rPr>
                <w:rFonts w:ascii="Times New Roman" w:hAnsi="Times New Roman" w:cs="Times New Roman"/>
                <w:bCs/>
                <w:sz w:val="20"/>
                <w:szCs w:val="20"/>
              </w:rPr>
            </w:pPr>
            <w:r>
              <w:rPr>
                <w:rFonts w:ascii="Times New Roman" w:hAnsi="Times New Roman" w:cs="Times New Roman"/>
                <w:bCs/>
                <w:sz w:val="20"/>
                <w:szCs w:val="20"/>
              </w:rPr>
              <w:t>Tiks veikti ieguldījumi publiskās ārtelpas attīstībā, izveidojot jaunas vai atjaunotas atvērtās zonas (publiskās teritorijas) pilsētvidē 240 482 m</w:t>
            </w:r>
            <w:r>
              <w:rPr>
                <w:rFonts w:ascii="Times New Roman" w:hAnsi="Times New Roman" w:cs="Times New Roman"/>
                <w:sz w:val="20"/>
                <w:szCs w:val="20"/>
                <w:vertAlign w:val="superscript"/>
              </w:rPr>
              <w:t>2</w:t>
            </w:r>
            <w:r>
              <w:rPr>
                <w:rFonts w:ascii="Times New Roman" w:hAnsi="Times New Roman" w:cs="Times New Roman"/>
                <w:bCs/>
                <w:sz w:val="20"/>
                <w:szCs w:val="20"/>
              </w:rPr>
              <w:t xml:space="preserve"> platībā, un viedo pašvaldību attīstībā.</w:t>
            </w:r>
          </w:p>
          <w:p w14:paraId="1ACA7074">
            <w:pPr>
              <w:spacing w:before="60" w:after="120" w:line="240" w:lineRule="auto"/>
              <w:jc w:val="both"/>
              <w:rPr>
                <w:rFonts w:ascii="Times New Roman" w:hAnsi="Times New Roman" w:cs="Times New Roman"/>
                <w:bCs/>
                <w:sz w:val="20"/>
                <w:szCs w:val="20"/>
              </w:rPr>
            </w:pPr>
            <w:r>
              <w:rPr>
                <w:rFonts w:ascii="Times New Roman" w:hAnsi="Times New Roman" w:cs="Times New Roman"/>
                <w:bCs/>
                <w:sz w:val="20"/>
                <w:szCs w:val="20"/>
              </w:rPr>
              <w:t>Tiks īstenots atbalsts pašvaldību ēku un infrastruktūras energoefektivitātes uzlabošanai un atbalsts daudzdzīvokļu māju energoefektivitātes uzlabošanai un pārejai uz atjaunojamo energoresursu tehnoloģiju izmantošanu.</w:t>
            </w:r>
          </w:p>
          <w:p w14:paraId="6348DBDE">
            <w:pPr>
              <w:spacing w:before="60" w:after="120" w:line="240" w:lineRule="auto"/>
              <w:jc w:val="both"/>
              <w:rPr>
                <w:rFonts w:ascii="Times New Roman" w:hAnsi="Times New Roman" w:cs="Times New Roman"/>
                <w:bCs/>
                <w:sz w:val="20"/>
                <w:szCs w:val="20"/>
              </w:rPr>
            </w:pPr>
            <w:r>
              <w:rPr>
                <w:rFonts w:ascii="Times New Roman" w:hAnsi="Times New Roman" w:cs="Times New Roman"/>
                <w:bCs/>
                <w:sz w:val="20"/>
                <w:szCs w:val="20"/>
              </w:rPr>
              <w:t>Austrumu pierobežas pašvaldībās plānots izveidot 143 sociālos mājokļus atbalsta programmas ietvaros.</w:t>
            </w:r>
          </w:p>
          <w:p w14:paraId="7D27C9A8">
            <w:pPr>
              <w:spacing w:before="60" w:after="120" w:line="240" w:lineRule="auto"/>
              <w:jc w:val="both"/>
              <w:rPr>
                <w:rFonts w:ascii="Times New Roman" w:hAnsi="Times New Roman" w:cs="Times New Roman"/>
                <w:bCs/>
                <w:sz w:val="20"/>
                <w:szCs w:val="20"/>
              </w:rPr>
            </w:pPr>
            <w:r>
              <w:rPr>
                <w:rFonts w:ascii="Times New Roman" w:hAnsi="Times New Roman" w:cs="Times New Roman"/>
                <w:bCs/>
                <w:sz w:val="20"/>
                <w:szCs w:val="20"/>
              </w:rPr>
              <w:t>Tiks īstenots Platjoslas infrastruktūras attīstības (pēdējā jūdze) pasākums - mājsaimniecību, uzņēmumu, izglītības iestāžu, ārstniecības iestāžu un citu sabiedrisko ēku skaits, kurām ir piekļuve platjoslas savienojumiem ar ļoti augstas veiktspējas tīklu – 1657.</w:t>
            </w:r>
          </w:p>
          <w:p w14:paraId="1852A3D0">
            <w:pPr>
              <w:spacing w:before="60" w:after="120" w:line="240" w:lineRule="auto"/>
              <w:jc w:val="both"/>
              <w:rPr>
                <w:rFonts w:ascii="Times New Roman" w:hAnsi="Times New Roman" w:cs="Times New Roman"/>
                <w:b/>
                <w:sz w:val="20"/>
                <w:szCs w:val="20"/>
              </w:rPr>
            </w:pPr>
            <w:r>
              <w:rPr>
                <w:rFonts w:ascii="Times New Roman" w:hAnsi="Times New Roman" w:cs="Times New Roman"/>
                <w:bCs/>
                <w:sz w:val="20"/>
                <w:szCs w:val="20"/>
              </w:rPr>
              <w:t>Papildus vēja parku attīstīšanas kontekstā ir sagatavots informatīvā ziņojuma “Par vēja parku attīstību Latvijā un aizsardzības nozares operacionālajām vajadzībām” projekts (TAP portāla tiesību akta lietas ID: 24-TA-140). Informatīvajā ziņojumā skaidrota pieeja, kādās situācijās vēja parki var traucēt radaru darbību un attiecīgi, vai nu ir spēkā pilns aizliegums, vai tiek plānots kompensējošs mehānisms (papildus radari vai esošo radaru pārvietošana) vēja parku izvietošanā. Attiecīgi ir izstrādāts kartējums, kur norādītas zonas pēc luksofora principa (būs spēkā līdz 2027.gadam) un kurā faktiski visa Austrumu pierobeža ir iezīmēta kā zona, kurā ir spēkā pilns aizliegums vēja parku izvietošanai. Attiecīgi Austrumu pierobežas reģions nevar gūt labumu ekonomikā no vēja parku attīstīšanas, par kuru reģionā ir stipri pieaugusi interese, kā tas skaidrots informatīvā ziņojuma projektā (sk. plašāk 1.pielikumā).</w:t>
            </w:r>
          </w:p>
        </w:tc>
      </w:tr>
      <w:tr w14:paraId="05E10C77">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81A2F3C">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Nr. p.k.</w:t>
            </w:r>
          </w:p>
        </w:tc>
        <w:tc>
          <w:tcPr>
            <w:tcW w:w="3532"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5F92D19C">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Pasākums</w:t>
            </w:r>
          </w:p>
        </w:tc>
        <w:tc>
          <w:tcPr>
            <w:tcW w:w="22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1E802C15">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Darbības rezultāts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3627F660">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Rezultatīvais rādītājs</w:t>
            </w:r>
          </w:p>
        </w:tc>
        <w:tc>
          <w:tcPr>
            <w:tcW w:w="1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36238510">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Atbildīgā institūcija</w:t>
            </w:r>
          </w:p>
        </w:tc>
        <w:tc>
          <w:tcPr>
            <w:tcW w:w="1539"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0BB47588">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Līdzatbildīgās institūcijas</w:t>
            </w:r>
          </w:p>
        </w:tc>
        <w:tc>
          <w:tcPr>
            <w:tcW w:w="112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156CAE94">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Izpildes termiņš</w:t>
            </w:r>
          </w:p>
        </w:tc>
        <w:tc>
          <w:tcPr>
            <w:tcW w:w="2451" w:type="dxa"/>
            <w:gridSpan w:val="2"/>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05721D77">
            <w:pPr>
              <w:spacing w:after="120" w:line="240" w:lineRule="auto"/>
              <w:jc w:val="center"/>
              <w:rPr>
                <w:rFonts w:ascii="Times New Roman" w:hAnsi="Times New Roman" w:cs="Times New Roman"/>
                <w:b/>
                <w:sz w:val="20"/>
                <w:szCs w:val="20"/>
              </w:rPr>
            </w:pPr>
            <w:r>
              <w:rPr>
                <w:rFonts w:ascii="Times New Roman" w:hAnsi="Times New Roman" w:cs="Times New Roman"/>
                <w:b/>
                <w:bCs/>
                <w:sz w:val="20"/>
                <w:szCs w:val="20"/>
              </w:rPr>
              <w:t>Finansējums</w:t>
            </w:r>
          </w:p>
        </w:tc>
      </w:tr>
      <w:tr w14:paraId="131FC364">
        <w:tblPrEx>
          <w:tblCellMar>
            <w:top w:w="0" w:type="dxa"/>
            <w:left w:w="10" w:type="dxa"/>
            <w:bottom w:w="0" w:type="dxa"/>
            <w:right w:w="10" w:type="dxa"/>
          </w:tblCellMar>
        </w:tblPrEx>
        <w:trPr>
          <w:jc w:val="center"/>
          <w:hidden/>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5056ED9F">
            <w:pPr>
              <w:pStyle w:val="52"/>
              <w:numPr>
                <w:ilvl w:val="0"/>
                <w:numId w:val="13"/>
              </w:numPr>
              <w:spacing w:after="120" w:line="240" w:lineRule="auto"/>
              <w:rPr>
                <w:rFonts w:ascii="Times New Roman" w:hAnsi="Times New Roman" w:cs="Times New Roman"/>
                <w:bCs/>
                <w:vanish/>
                <w:sz w:val="20"/>
                <w:szCs w:val="20"/>
              </w:rPr>
            </w:pPr>
          </w:p>
          <w:p w14:paraId="25A7E77B">
            <w:pPr>
              <w:pStyle w:val="52"/>
              <w:numPr>
                <w:ilvl w:val="1"/>
                <w:numId w:val="13"/>
              </w:numPr>
              <w:spacing w:after="120" w:line="240" w:lineRule="auto"/>
              <w:ind w:left="432"/>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56820A4">
            <w:pPr>
              <w:spacing w:line="240" w:lineRule="auto"/>
              <w:jc w:val="both"/>
              <w:rPr>
                <w:rFonts w:ascii="Times New Roman" w:hAnsi="Times New Roman" w:cs="Times New Roman"/>
                <w:b/>
                <w:bCs/>
                <w:sz w:val="20"/>
                <w:szCs w:val="20"/>
              </w:rPr>
            </w:pPr>
            <w:r>
              <w:rPr>
                <w:rFonts w:ascii="Times New Roman" w:hAnsi="Times New Roman" w:cs="Times New Roman"/>
                <w:sz w:val="20"/>
                <w:szCs w:val="20"/>
              </w:rPr>
              <w:t>Sniegt atbalstu jaunu darba vietu radīšanai eksportējošos uzņēmumos: 1.2.3.7. pasākuma “Atbalsts jaunu darba vietu radīšanai”</w:t>
            </w:r>
            <w:r>
              <w:rPr>
                <w:rStyle w:val="20"/>
                <w:rFonts w:ascii="Times New Roman" w:hAnsi="Times New Roman" w:cs="Times New Roman"/>
                <w:sz w:val="20"/>
                <w:szCs w:val="20"/>
              </w:rPr>
              <w:footnoteReference w:id="43"/>
            </w:r>
            <w:r>
              <w:rPr>
                <w:rFonts w:ascii="Times New Roman" w:hAnsi="Times New Roman" w:cs="Times New Roman"/>
                <w:sz w:val="20"/>
                <w:szCs w:val="20"/>
              </w:rPr>
              <w:t xml:space="preserve"> izveide jaunu ražošanas ēku izbūvei, iekārtu iegādei un nepieciešamās loģistikas infrastruktūras izveidei. Tiktu piešķirti aizdevumi ar kapitāla atlaidi līdz 5 000 000 </w:t>
            </w:r>
            <w:r>
              <w:rPr>
                <w:rFonts w:ascii="Times New Roman" w:hAnsi="Times New Roman" w:cs="Times New Roman"/>
                <w:i/>
                <w:iCs/>
                <w:sz w:val="20"/>
                <w:szCs w:val="20"/>
              </w:rPr>
              <w:t xml:space="preserve">euro </w:t>
            </w:r>
            <w:r>
              <w:rPr>
                <w:rFonts w:ascii="Times New Roman" w:hAnsi="Times New Roman" w:cs="Times New Roman"/>
                <w:sz w:val="20"/>
                <w:szCs w:val="20"/>
              </w:rPr>
              <w:t>uz eksportu orientētiem komersantiem.</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76B90DF0">
            <w:pPr>
              <w:spacing w:after="12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 Atbalstīta uzņēmumu tehnoloģiskās kapacitātes pilnveidošana, attīstība un produktivitāte, kā arī sekmēta uzņēmumu vadības prakses un darbavietu pilnveidošana</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325CB1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0DF124C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10 ar finanšu instrumentiem atbalstīti uzņēmumi*</w:t>
            </w:r>
          </w:p>
          <w:p w14:paraId="15B89A2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Vismaz 50 jaunradītas darba vietas**</w:t>
            </w:r>
          </w:p>
          <w:p w14:paraId="772AC17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Piesaistītas privātās investīcijas 10 milj. </w:t>
            </w:r>
            <w:r>
              <w:rPr>
                <w:rFonts w:ascii="Times New Roman" w:hAnsi="Times New Roman" w:eastAsia="Times New Roman" w:cs="Times New Roman"/>
                <w:i/>
                <w:iCs/>
                <w:sz w:val="20"/>
                <w:szCs w:val="20"/>
              </w:rPr>
              <w:t xml:space="preserve">euro </w:t>
            </w:r>
            <w:r>
              <w:rPr>
                <w:rFonts w:ascii="Times New Roman" w:hAnsi="Times New Roman" w:cs="Times New Roman"/>
                <w:sz w:val="20"/>
                <w:szCs w:val="20"/>
              </w:rPr>
              <w:t>**</w:t>
            </w:r>
          </w:p>
          <w:p w14:paraId="76812F4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7B1C407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rPr>
              <w:t xml:space="preserve"> </w:t>
            </w:r>
            <w:r>
              <w:rPr>
                <w:rFonts w:ascii="Times New Roman" w:hAnsi="Times New Roman" w:cs="Times New Roman"/>
                <w:sz w:val="20"/>
                <w:szCs w:val="20"/>
              </w:rPr>
              <w:t>ar finanšu instrumentiem atbalstīti uzņēmumi Austrumu pierobežā*</w:t>
            </w:r>
          </w:p>
          <w:p w14:paraId="61904C7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Vismaz 25 jaunradītas darba vietas Austrumu pierobežā**</w:t>
            </w:r>
          </w:p>
          <w:p w14:paraId="745A199C">
            <w:pPr>
              <w:jc w:val="both"/>
              <w:rPr>
                <w:rFonts w:ascii="Times New Roman" w:hAnsi="Times New Roman" w:cs="Times New Roman"/>
                <w:b/>
                <w:bCs/>
              </w:rPr>
            </w:pPr>
            <w:r>
              <w:rPr>
                <w:rFonts w:ascii="Times New Roman" w:hAnsi="Times New Roman" w:cs="Times New Roman"/>
                <w:sz w:val="20"/>
                <w:szCs w:val="20"/>
              </w:rPr>
              <w:t xml:space="preserve">Austrumu pierobežā piesaistītas privātās investīcijas 5 milj. </w:t>
            </w:r>
            <w:r>
              <w:rPr>
                <w:rFonts w:ascii="Times New Roman" w:hAnsi="Times New Roman" w:eastAsia="Times New Roman" w:cs="Times New Roman"/>
                <w:i/>
                <w:iCs/>
                <w:sz w:val="20"/>
                <w:szCs w:val="20"/>
              </w:rPr>
              <w:t xml:space="preserve">euro </w:t>
            </w:r>
            <w:r>
              <w:rPr>
                <w:rFonts w:ascii="Times New Roman" w:hAnsi="Times New Roman" w:cs="Times New Roman"/>
                <w:sz w:val="20"/>
                <w:szCs w:val="20"/>
              </w:rPr>
              <w:t>**</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609649A0">
            <w:pPr>
              <w:spacing w:after="120" w:line="240" w:lineRule="auto"/>
              <w:jc w:val="center"/>
              <w:rPr>
                <w:rFonts w:ascii="Times New Roman" w:hAnsi="Times New Roman" w:cs="Times New Roman"/>
                <w:b/>
                <w:bCs/>
                <w:sz w:val="20"/>
                <w:szCs w:val="20"/>
                <w:shd w:val="clear" w:color="auto" w:fill="FFFF00"/>
              </w:rPr>
            </w:pPr>
            <w:r>
              <w:rPr>
                <w:rFonts w:ascii="Times New Roman" w:hAnsi="Times New Roman" w:cs="Times New Roman"/>
                <w:bCs/>
                <w:sz w:val="20"/>
                <w:szCs w:val="20"/>
              </w:rPr>
              <w:t>EM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0936555">
            <w:pPr>
              <w:spacing w:after="120" w:line="240" w:lineRule="auto"/>
              <w:jc w:val="center"/>
              <w:rPr>
                <w:rFonts w:ascii="Times New Roman" w:hAnsi="Times New Roman" w:eastAsia="Times New Roman" w:cs="Times New Roman"/>
                <w:b/>
                <w:bCs/>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1A31811">
            <w:pPr>
              <w:spacing w:after="12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C69D5FA">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5C271D9B">
            <w:pPr>
              <w:spacing w:line="240" w:lineRule="auto"/>
              <w:rPr>
                <w:rFonts w:ascii="Times New Roman" w:hAnsi="Times New Roman" w:eastAsia="Times New Roman" w:cs="Times New Roman"/>
                <w:i/>
                <w:iCs/>
                <w:sz w:val="20"/>
                <w:szCs w:val="20"/>
              </w:rPr>
            </w:pPr>
            <w:r>
              <w:rPr>
                <w:rFonts w:ascii="Times New Roman" w:hAnsi="Times New Roman" w:eastAsia="Times New Roman" w:cs="Times New Roman"/>
                <w:sz w:val="20"/>
                <w:szCs w:val="20"/>
              </w:rPr>
              <w:t xml:space="preserve">25 619 201 </w:t>
            </w:r>
            <w:r>
              <w:rPr>
                <w:rFonts w:ascii="Times New Roman" w:hAnsi="Times New Roman" w:eastAsia="Times New Roman" w:cs="Times New Roman"/>
                <w:i/>
                <w:iCs/>
                <w:sz w:val="20"/>
                <w:szCs w:val="20"/>
              </w:rPr>
              <w:t xml:space="preserve">euro </w:t>
            </w:r>
          </w:p>
          <w:p w14:paraId="6BBE0C22">
            <w:pPr>
              <w:spacing w:line="240" w:lineRule="auto"/>
              <w:rPr>
                <w:rFonts w:ascii="Times New Roman" w:hAnsi="Times New Roman" w:eastAsia="Times New Roman" w:cs="Times New Roman"/>
                <w:i/>
                <w:iCs/>
                <w:sz w:val="20"/>
                <w:szCs w:val="20"/>
              </w:rPr>
            </w:pPr>
            <w:r>
              <w:rPr>
                <w:rFonts w:ascii="Times New Roman" w:hAnsi="Times New Roman" w:eastAsia="Times New Roman" w:cs="Times New Roman"/>
                <w:sz w:val="20"/>
                <w:szCs w:val="20"/>
              </w:rPr>
              <w:t xml:space="preserve">Potenciāli 5 000 000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Austrumu pierobežai</w:t>
            </w:r>
            <w:r>
              <w:rPr>
                <w:rStyle w:val="20"/>
                <w:rFonts w:ascii="Times New Roman" w:hAnsi="Times New Roman" w:eastAsia="Times New Roman" w:cs="Times New Roman"/>
                <w:sz w:val="20"/>
                <w:szCs w:val="20"/>
              </w:rPr>
              <w:footnoteReference w:id="44"/>
            </w:r>
          </w:p>
          <w:p w14:paraId="6B2F5D6B">
            <w:pPr>
              <w:spacing w:after="120" w:line="240" w:lineRule="auto"/>
              <w:rPr>
                <w:rFonts w:ascii="Times New Roman" w:hAnsi="Times New Roman" w:cs="Times New Roman"/>
                <w:b/>
                <w:bCs/>
                <w:sz w:val="20"/>
                <w:szCs w:val="20"/>
              </w:rPr>
            </w:pPr>
            <w:r>
              <w:rPr>
                <w:rFonts w:ascii="Times New Roman" w:hAnsi="Times New Roman" w:eastAsia="Times New Roman" w:cs="Times New Roman"/>
                <w:i/>
                <w:iCs/>
                <w:sz w:val="20"/>
                <w:szCs w:val="20"/>
              </w:rPr>
              <w:t>(ES fondi: Eiropas Savienības kohēzijas politikas programma 2021.–2027. gadam)</w:t>
            </w:r>
          </w:p>
        </w:tc>
      </w:tr>
      <w:tr w14:paraId="455FE30C">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51E8D2FA">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381A878">
            <w:pPr>
              <w:spacing w:line="240" w:lineRule="auto"/>
              <w:jc w:val="both"/>
              <w:rPr>
                <w:rFonts w:ascii="Times New Roman" w:hAnsi="Times New Roman" w:cs="Times New Roman"/>
                <w:sz w:val="20"/>
                <w:szCs w:val="20"/>
              </w:rPr>
            </w:pPr>
            <w:r>
              <w:rPr>
                <w:rFonts w:ascii="Times New Roman" w:hAnsi="Times New Roman" w:cs="Times New Roman"/>
                <w:sz w:val="20"/>
                <w:szCs w:val="20"/>
              </w:rPr>
              <w:t>Sniegt atbalstu mazajiem un vidējiem uzņēmumiem (turpmāk – MVU) – pētniecība un internacionalizācija:</w:t>
            </w:r>
          </w:p>
          <w:p w14:paraId="5E618B52">
            <w:pPr>
              <w:spacing w:line="240" w:lineRule="auto"/>
              <w:jc w:val="both"/>
              <w:rPr>
                <w:rFonts w:ascii="Times New Roman" w:hAnsi="Times New Roman" w:cs="Times New Roman"/>
                <w:sz w:val="20"/>
                <w:szCs w:val="20"/>
              </w:rPr>
            </w:pPr>
            <w:r>
              <w:rPr>
                <w:rFonts w:ascii="Times New Roman" w:hAnsi="Times New Roman" w:cs="Times New Roman"/>
                <w:sz w:val="20"/>
                <w:szCs w:val="20"/>
              </w:rPr>
              <w:t>Lai sekmētu reģionu nevienlīdzības mazināšanu un vienlīdzīgu izaugsmi, EM ir izstrādājusi jaunu atbalsta pasākumu 1.2.1.1. “Inovāciju klasteri” (2. un 3.kārta), kur komersantiem plānots sniegt atbalstu internacionalizācijai un sadarbības veicināšanai starp privāto, publisko un pētniecības sektoru.</w:t>
            </w:r>
          </w:p>
          <w:p w14:paraId="6BF2AD64">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Pasākuma 3.kārtā paredzēts piemērot labvēlīgu koeficientu </w:t>
            </w:r>
            <w:r>
              <w:rPr>
                <w:rFonts w:ascii="Times New Roman" w:hAnsi="Times New Roman" w:cs="Times New Roman"/>
                <w:b/>
                <w:bCs/>
                <w:sz w:val="20"/>
                <w:szCs w:val="20"/>
              </w:rPr>
              <w:t>Latgales plānošanas reģionam</w:t>
            </w:r>
            <w:r>
              <w:rPr>
                <w:rFonts w:ascii="Times New Roman" w:hAnsi="Times New Roman" w:cs="Times New Roman"/>
                <w:b/>
                <w:sz w:val="20"/>
                <w:szCs w:val="20"/>
              </w:rPr>
              <w:t>.</w:t>
            </w:r>
            <w:r>
              <w:rPr>
                <w:rStyle w:val="20"/>
                <w:rFonts w:ascii="Times New Roman" w:hAnsi="Times New Roman" w:cs="Times New Roman"/>
                <w:b/>
                <w:sz w:val="20"/>
                <w:szCs w:val="20"/>
              </w:rPr>
              <w:footnoteReference w:id="45"/>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15DF087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2.kārta – atbalstītas aktivitātes sadarbības veicināšanai starp</w:t>
            </w:r>
            <w:r>
              <w:rPr>
                <w:rFonts w:ascii="Times New Roman" w:hAnsi="Times New Roman" w:cs="Times New Roman"/>
                <w:b/>
                <w:sz w:val="20"/>
                <w:szCs w:val="20"/>
              </w:rPr>
              <w:t xml:space="preserve"> </w:t>
            </w:r>
            <w:r>
              <w:rPr>
                <w:rFonts w:ascii="Times New Roman" w:hAnsi="Times New Roman" w:cs="Times New Roman"/>
                <w:sz w:val="20"/>
                <w:szCs w:val="20"/>
              </w:rPr>
              <w:t>privāto, publisko un pētniecības sektoru, tādējādi vecinot internacionalizāciju un eksporta apjoma pieaugumu</w:t>
            </w:r>
          </w:p>
          <w:p w14:paraId="57F2B6B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3.kārta – atbalstīt komersantu pētniecības aktivitātes, atbalstot jaunu produktu un tehnoloģiju izstrādi, nepieciešamības gadījumā radot jaunas, konkurētspējīgas darbavietas, tādējādi stiprinot P&amp;A</w:t>
            </w:r>
            <w:r>
              <w:rPr>
                <w:rFonts w:ascii="Times New Roman" w:hAnsi="Times New Roman" w:cs="Times New Roman"/>
                <w:bCs/>
                <w:sz w:val="20"/>
                <w:szCs w:val="20"/>
              </w:rPr>
              <w:t>.</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B1297C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47AFD4E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40 ar grantiem atbalstītie uzņēmumi (3.kārta)*</w:t>
            </w:r>
          </w:p>
          <w:p w14:paraId="3F87A60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137 nefinansiālu atbalstu saņēmušie uzņēmumi (2.kārta)*</w:t>
            </w:r>
          </w:p>
          <w:p w14:paraId="50723C8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Piesaistītās privātās investīcijas 15,1  milj. </w:t>
            </w:r>
            <w:r>
              <w:rPr>
                <w:rFonts w:ascii="Times New Roman" w:hAnsi="Times New Roman" w:cs="Times New Roman"/>
                <w:i/>
                <w:iCs/>
                <w:sz w:val="20"/>
                <w:szCs w:val="20"/>
              </w:rPr>
              <w:t>euro</w:t>
            </w:r>
            <w:r>
              <w:rPr>
                <w:rFonts w:ascii="Times New Roman" w:hAnsi="Times New Roman" w:cs="Times New Roman"/>
                <w:sz w:val="20"/>
                <w:szCs w:val="20"/>
              </w:rPr>
              <w:t xml:space="preserve"> (abās kārtās kopā)**</w:t>
            </w:r>
          </w:p>
          <w:p w14:paraId="46D37DD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01DEB50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10 ar grantiem atbalstītie uzņēmumi (3.kārta)*</w:t>
            </w:r>
          </w:p>
          <w:p w14:paraId="7E995B7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34 nefinansiālu atbalstu saņēmušie uzņēmumi (2.kārta)*</w:t>
            </w:r>
          </w:p>
          <w:p w14:paraId="1559293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Piesaistītās privātās investīcijas 4 milj. </w:t>
            </w:r>
            <w:r>
              <w:rPr>
                <w:rFonts w:ascii="Times New Roman" w:hAnsi="Times New Roman" w:cs="Times New Roman"/>
                <w:i/>
                <w:iCs/>
                <w:sz w:val="20"/>
                <w:szCs w:val="20"/>
              </w:rPr>
              <w:t>euro</w:t>
            </w:r>
            <w:r>
              <w:rPr>
                <w:rFonts w:ascii="Times New Roman" w:hAnsi="Times New Roman" w:cs="Times New Roman"/>
                <w:sz w:val="20"/>
                <w:szCs w:val="20"/>
              </w:rPr>
              <w:t>**</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188F9B98">
            <w:pPr>
              <w:spacing w:after="120" w:line="240" w:lineRule="auto"/>
              <w:jc w:val="center"/>
              <w:rPr>
                <w:rFonts w:ascii="Times New Roman" w:hAnsi="Times New Roman" w:cs="Times New Roman"/>
                <w:bCs/>
                <w:sz w:val="20"/>
                <w:szCs w:val="20"/>
              </w:rPr>
            </w:pPr>
            <w:r>
              <w:rPr>
                <w:rFonts w:ascii="Times New Roman" w:hAnsi="Times New Roman" w:cs="Times New Roman"/>
                <w:sz w:val="20"/>
                <w:szCs w:val="20"/>
              </w:rPr>
              <w:t>EM, AiM, CFLA</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850E3EB">
            <w:pPr>
              <w:spacing w:after="120" w:line="240" w:lineRule="auto"/>
              <w:jc w:val="center"/>
              <w:rPr>
                <w:rFonts w:ascii="Times New Roman" w:hAnsi="Times New Roman" w:eastAsia="Times New Roman" w:cs="Times New Roman"/>
                <w:b/>
                <w:bCs/>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2449613">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E1EF699">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Pasākuma kopējais finansējums visā Latvijā:</w:t>
            </w:r>
          </w:p>
          <w:p w14:paraId="47BCA3D6">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1.2.1.1. pasākuma otrā kārta –</w:t>
            </w:r>
            <w:r>
              <w:rPr>
                <w:rFonts w:ascii="Times New Roman" w:hAnsi="Times New Roman" w:eastAsia="Times New Roman" w:cs="Times New Roman"/>
                <w:kern w:val="0"/>
                <w:sz w:val="20"/>
                <w:szCs w:val="20"/>
                <w14:ligatures w14:val="none"/>
              </w:rPr>
              <w:t xml:space="preserve"> 9  869 476</w:t>
            </w:r>
            <w:r>
              <w:rPr>
                <w:rFonts w:ascii="Times New Roman" w:hAnsi="Times New Roman" w:eastAsia="Times New Roman" w:cs="Times New Roman"/>
                <w:sz w:val="20"/>
                <w:szCs w:val="20"/>
              </w:rPr>
              <w:t xml:space="preserve"> </w:t>
            </w:r>
            <w:r>
              <w:rPr>
                <w:rFonts w:ascii="Times New Roman" w:hAnsi="Times New Roman" w:eastAsia="Times New Roman" w:cs="Times New Roman"/>
                <w:i/>
                <w:iCs/>
                <w:sz w:val="20"/>
                <w:szCs w:val="20"/>
              </w:rPr>
              <w:t>euro</w:t>
            </w:r>
          </w:p>
          <w:p w14:paraId="2AE6359D">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1.2.1.1. pasākuma trešajai kārtai – 27 626 486 </w:t>
            </w:r>
            <w:r>
              <w:rPr>
                <w:rFonts w:ascii="Times New Roman" w:hAnsi="Times New Roman" w:eastAsia="Times New Roman" w:cs="Times New Roman"/>
                <w:i/>
                <w:iCs/>
                <w:sz w:val="20"/>
                <w:szCs w:val="20"/>
              </w:rPr>
              <w:t>euro</w:t>
            </w:r>
          </w:p>
          <w:p w14:paraId="6D266284">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Potenciāli 3 000 000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Austrumu pierobežai</w:t>
            </w:r>
            <w:r>
              <w:rPr>
                <w:rFonts w:ascii="Times New Roman" w:hAnsi="Times New Roman" w:eastAsia="Times New Roman" w:cs="Times New Roman"/>
                <w:i/>
                <w:iCs/>
                <w:sz w:val="20"/>
                <w:szCs w:val="20"/>
              </w:rPr>
              <w:t xml:space="preserve"> </w:t>
            </w:r>
          </w:p>
          <w:p w14:paraId="54C741C6">
            <w:pPr>
              <w:spacing w:line="240" w:lineRule="auto"/>
              <w:rPr>
                <w:rFonts w:ascii="Times New Roman" w:hAnsi="Times New Roman" w:eastAsia="Times New Roman" w:cs="Times New Roman"/>
                <w:i/>
                <w:iCs/>
                <w:sz w:val="20"/>
                <w:szCs w:val="20"/>
              </w:rPr>
            </w:pPr>
            <w:r>
              <w:rPr>
                <w:rFonts w:ascii="Times New Roman" w:hAnsi="Times New Roman" w:eastAsia="Times New Roman" w:cs="Times New Roman"/>
                <w:i/>
                <w:iCs/>
                <w:sz w:val="20"/>
                <w:szCs w:val="20"/>
              </w:rPr>
              <w:t>(ES fondi: Eiropas Savienības kohēzijas politikas programma 2021.–2027. gadam)</w:t>
            </w:r>
          </w:p>
          <w:p w14:paraId="0C3E195E">
            <w:pPr>
              <w:spacing w:line="240" w:lineRule="auto"/>
              <w:rPr>
                <w:rFonts w:ascii="Times New Roman" w:hAnsi="Times New Roman" w:eastAsia="Times New Roman" w:cs="Times New Roman"/>
                <w:sz w:val="20"/>
                <w:szCs w:val="20"/>
              </w:rPr>
            </w:pPr>
          </w:p>
        </w:tc>
      </w:tr>
      <w:tr w14:paraId="6A8A858F">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3923D7F9">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CA1575A">
            <w:pPr>
              <w:spacing w:after="12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Ceļu infrastruktūras pirms robežšķērsošanas vietām attīstība un </w:t>
            </w:r>
            <w:r>
              <w:rPr>
                <w:rFonts w:ascii="Times New Roman" w:hAnsi="Times New Roman" w:cs="Times New Roman"/>
                <w:kern w:val="0"/>
                <w:sz w:val="20"/>
                <w:szCs w:val="20"/>
                <w14:ligatures w14:val="none"/>
              </w:rPr>
              <w:t>viedās robežas risinājumi:</w:t>
            </w:r>
          </w:p>
          <w:p w14:paraId="74A0D5CF">
            <w:pPr>
              <w:spacing w:after="120" w:line="240" w:lineRule="auto"/>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Visaptverošas robežas aizsardzības nodrošināšanai  paredzēts ieviest viedās robežas risinājumus, proti, tehnoloģiskās infrastruktūras izbūve uz valsts ārējās sauszemes robežas un transportlīdzekļu  elektroniskās rindas vadības sistēmas (e-rinda) izstrāde Pāternieku, Terehovas un Grebņevas robežkontroles punkta šķērsošanai.</w:t>
            </w:r>
            <w:r>
              <w:rPr>
                <w:rStyle w:val="20"/>
                <w:rFonts w:ascii="Times New Roman" w:hAnsi="Times New Roman" w:cs="Times New Roman"/>
                <w:kern w:val="0"/>
                <w:sz w:val="20"/>
                <w:szCs w:val="20"/>
                <w14:ligatures w14:val="none"/>
              </w:rPr>
              <w:footnoteReference w:id="46"/>
            </w:r>
          </w:p>
          <w:p w14:paraId="2F213E8E">
            <w:pPr>
              <w:spacing w:line="240" w:lineRule="auto"/>
              <w:jc w:val="both"/>
              <w:rPr>
                <w:rFonts w:ascii="Times New Roman" w:hAnsi="Times New Roman" w:cs="Times New Roman"/>
                <w:sz w:val="20"/>
                <w:szCs w:val="20"/>
              </w:rPr>
            </w:pP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296991EC">
            <w:pPr>
              <w:spacing w:after="120" w:line="240" w:lineRule="auto"/>
              <w:jc w:val="both"/>
              <w:rPr>
                <w:rFonts w:ascii="Times New Roman" w:hAnsi="Times New Roman" w:cs="Times New Roman"/>
                <w:sz w:val="20"/>
                <w:szCs w:val="20"/>
              </w:rPr>
            </w:pPr>
            <w:r>
              <w:rPr>
                <w:rStyle w:val="60"/>
                <w:rFonts w:ascii="Times New Roman" w:hAnsi="Times New Roman" w:cs="Times New Roman" w:eastAsiaTheme="majorEastAsia"/>
                <w:sz w:val="20"/>
                <w:szCs w:val="20"/>
              </w:rPr>
              <w:t>Efektivizēts kompetento iestāžu darbs un ieviesta transportlīdzekļu elektroniska reģistrēšanās rindā robežšķērsošanai, tādējādi mazinot drošības apdraudējuma riskus uz valsts robežas un radot pēc iespējas labvēlīgākus apstākļus robežšķērsotājiem</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74D614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Pasākuma, kas tiek īstenots tikai Austrumu pierobežā, rezultāti:</w:t>
            </w:r>
          </w:p>
          <w:p w14:paraId="341F97F2">
            <w:pPr>
              <w:pStyle w:val="69"/>
              <w:spacing w:after="0"/>
              <w:jc w:val="both"/>
              <w:textAlignment w:val="baseline"/>
              <w:rPr>
                <w:rStyle w:val="60"/>
                <w:sz w:val="20"/>
                <w:szCs w:val="20"/>
              </w:rPr>
            </w:pPr>
            <w:r>
              <w:rPr>
                <w:rStyle w:val="60"/>
                <w:sz w:val="20"/>
                <w:szCs w:val="20"/>
              </w:rPr>
              <w:t>Transportlīdzekļiem nodrošināta ātra robežšķērsošanas procedūru uzsākšana, izvairoties no ilgstošas stāvēšanas pirms robežas.*</w:t>
            </w:r>
          </w:p>
          <w:p w14:paraId="2E4199AB">
            <w:pPr>
              <w:pStyle w:val="69"/>
              <w:spacing w:after="0"/>
              <w:jc w:val="both"/>
              <w:textAlignment w:val="baseline"/>
              <w:rPr>
                <w:rStyle w:val="60"/>
                <w:sz w:val="20"/>
                <w:szCs w:val="20"/>
              </w:rPr>
            </w:pPr>
            <w:r>
              <w:rPr>
                <w:rStyle w:val="60"/>
                <w:sz w:val="20"/>
                <w:szCs w:val="20"/>
              </w:rPr>
              <w:t>T/l plūsmas jaudas saglabāšana RŠV LV pusē  pie samazinātiem personālresursiem robežās šķērsošanas kontroles procesā.*</w:t>
            </w:r>
          </w:p>
          <w:p w14:paraId="280CC2C2">
            <w:pPr>
              <w:pStyle w:val="69"/>
              <w:spacing w:before="0" w:beforeAutospacing="0" w:after="0" w:afterAutospacing="0"/>
              <w:jc w:val="both"/>
              <w:textAlignment w:val="baseline"/>
              <w:rPr>
                <w:rStyle w:val="60"/>
                <w:sz w:val="20"/>
                <w:szCs w:val="20"/>
              </w:rPr>
            </w:pPr>
            <w:r>
              <w:rPr>
                <w:rStyle w:val="60"/>
                <w:sz w:val="20"/>
                <w:szCs w:val="20"/>
              </w:rPr>
              <w:t>Rezultatīva muitas kontrole.*</w:t>
            </w:r>
          </w:p>
          <w:p w14:paraId="01576CA8">
            <w:pPr>
              <w:pStyle w:val="69"/>
              <w:spacing w:before="0" w:beforeAutospacing="0" w:after="0" w:afterAutospacing="0"/>
              <w:jc w:val="both"/>
              <w:textAlignment w:val="baseline"/>
              <w:rPr>
                <w:rStyle w:val="73"/>
                <w:sz w:val="20"/>
                <w:szCs w:val="20"/>
              </w:rPr>
            </w:pPr>
          </w:p>
          <w:p w14:paraId="5A74560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Robežu šķērsojušo transportlīdzekļu skaits diennaktī**</w:t>
            </w:r>
          </w:p>
          <w:p w14:paraId="520FD76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Muitas fizisko kontroļu rezultativitāte**</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44C6C3D6">
            <w:pPr>
              <w:spacing w:after="120" w:line="240" w:lineRule="auto"/>
              <w:jc w:val="center"/>
              <w:rPr>
                <w:rFonts w:ascii="Times New Roman" w:hAnsi="Times New Roman" w:cs="Times New Roman"/>
                <w:bCs/>
                <w:sz w:val="20"/>
                <w:szCs w:val="20"/>
              </w:rPr>
            </w:pPr>
            <w:r>
              <w:rPr>
                <w:rStyle w:val="60"/>
                <w:rFonts w:ascii="Times New Roman" w:hAnsi="Times New Roman" w:cs="Times New Roman"/>
                <w:sz w:val="20"/>
                <w:szCs w:val="20"/>
              </w:rPr>
              <w:t>SM, FM, LVRTC</w:t>
            </w:r>
            <w:r>
              <w:rPr>
                <w:rStyle w:val="73"/>
                <w:rFonts w:ascii="Times New Roman" w:hAnsi="Times New Roman" w:cs="Times New Roman"/>
                <w:sz w:val="20"/>
                <w:szCs w:val="20"/>
                <w:lang w:val="en-US"/>
              </w:rPr>
              <w:t> </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853BE8A">
            <w:pPr>
              <w:spacing w:after="120" w:line="240" w:lineRule="auto"/>
              <w:jc w:val="center"/>
              <w:rPr>
                <w:rFonts w:ascii="Times New Roman" w:hAnsi="Times New Roman" w:eastAsia="Times New Roman" w:cs="Times New Roman"/>
                <w:b/>
                <w:bCs/>
                <w:sz w:val="20"/>
                <w:szCs w:val="20"/>
              </w:rPr>
            </w:pPr>
            <w:r>
              <w:rPr>
                <w:rStyle w:val="60"/>
                <w:rFonts w:ascii="Times New Roman" w:hAnsi="Times New Roman" w:cs="Times New Roman"/>
                <w:sz w:val="20"/>
                <w:szCs w:val="20"/>
              </w:rPr>
              <w:t xml:space="preserve">VARAM, IeM </w:t>
            </w:r>
            <w:r>
              <w:rPr>
                <w:rStyle w:val="73"/>
                <w:rFonts w:ascii="Times New Roman" w:hAnsi="Times New Roman" w:cs="Times New Roman"/>
                <w:sz w:val="20"/>
                <w:szCs w:val="20"/>
                <w:lang w:val="en-US"/>
              </w:rPr>
              <w:t> </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FC166C8">
            <w:pPr>
              <w:spacing w:after="120" w:line="240" w:lineRule="auto"/>
              <w:jc w:val="center"/>
              <w:rPr>
                <w:rFonts w:ascii="Times New Roman" w:hAnsi="Times New Roman" w:eastAsia="Times New Roman" w:cs="Times New Roman"/>
                <w:sz w:val="20"/>
                <w:szCs w:val="20"/>
              </w:rPr>
            </w:pPr>
            <w:r>
              <w:rPr>
                <w:rStyle w:val="60"/>
                <w:rFonts w:ascii="Times New Roman" w:hAnsi="Times New Roman" w:cs="Times New Roman"/>
                <w:sz w:val="20"/>
                <w:szCs w:val="20"/>
              </w:rPr>
              <w:t>2027</w:t>
            </w:r>
            <w:r>
              <w:rPr>
                <w:rStyle w:val="73"/>
                <w:rFonts w:ascii="Times New Roman" w:hAnsi="Times New Roman" w:cs="Times New Roman"/>
                <w:sz w:val="20"/>
                <w:szCs w:val="20"/>
                <w:lang w:val="en-US"/>
              </w:rPr>
              <w:t> </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D108157">
            <w:pPr>
              <w:spacing w:after="0" w:line="240" w:lineRule="auto"/>
              <w:rPr>
                <w:rFonts w:ascii="Times New Roman" w:hAnsi="Times New Roman" w:cs="Times New Roman"/>
                <w:sz w:val="20"/>
                <w:szCs w:val="20"/>
              </w:rPr>
            </w:pPr>
            <w:r>
              <w:rPr>
                <w:rFonts w:ascii="Times New Roman" w:hAnsi="Times New Roman" w:cs="Times New Roman"/>
                <w:sz w:val="20"/>
                <w:szCs w:val="20"/>
              </w:rPr>
              <w:t>Pasākuma, kas tiek īstenots tikai Austrumu pierobežā, finansējums:</w:t>
            </w:r>
          </w:p>
          <w:p w14:paraId="3BAB6AB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7 118 530 </w:t>
            </w:r>
            <w:r>
              <w:rPr>
                <w:rFonts w:ascii="Times New Roman" w:hAnsi="Times New Roman" w:cs="Times New Roman"/>
                <w:i/>
                <w:iCs/>
                <w:sz w:val="20"/>
                <w:szCs w:val="20"/>
              </w:rPr>
              <w:t>euro</w:t>
            </w:r>
            <w:r>
              <w:rPr>
                <w:rFonts w:ascii="Times New Roman" w:hAnsi="Times New Roman" w:cs="Times New Roman"/>
                <w:sz w:val="20"/>
                <w:szCs w:val="20"/>
              </w:rPr>
              <w:t xml:space="preserve">, t.sk.: </w:t>
            </w:r>
          </w:p>
          <w:p w14:paraId="24CC51B5">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2 125 000 </w:t>
            </w:r>
            <w:r>
              <w:rPr>
                <w:rFonts w:ascii="Times New Roman" w:hAnsi="Times New Roman" w:cs="Times New Roman"/>
                <w:i/>
                <w:iCs/>
                <w:sz w:val="20"/>
                <w:szCs w:val="20"/>
              </w:rPr>
              <w:t>euro</w:t>
            </w:r>
            <w:r>
              <w:rPr>
                <w:rFonts w:ascii="Times New Roman" w:hAnsi="Times New Roman" w:cs="Times New Roman"/>
                <w:sz w:val="20"/>
                <w:szCs w:val="20"/>
              </w:rPr>
              <w:t xml:space="preserve"> pirmajam posmam un 4 993 530 </w:t>
            </w:r>
            <w:r>
              <w:rPr>
                <w:rFonts w:ascii="Times New Roman" w:hAnsi="Times New Roman" w:cs="Times New Roman"/>
                <w:i/>
                <w:iCs/>
                <w:sz w:val="20"/>
                <w:szCs w:val="20"/>
              </w:rPr>
              <w:t>euro</w:t>
            </w:r>
            <w:r>
              <w:rPr>
                <w:rFonts w:ascii="Times New Roman" w:hAnsi="Times New Roman" w:cs="Times New Roman"/>
                <w:sz w:val="20"/>
                <w:szCs w:val="20"/>
              </w:rPr>
              <w:t xml:space="preserve"> otrajam posmam</w:t>
            </w:r>
          </w:p>
          <w:p w14:paraId="1990FEC5">
            <w:pPr>
              <w:spacing w:line="240" w:lineRule="auto"/>
              <w:rPr>
                <w:rFonts w:ascii="Times New Roman" w:hAnsi="Times New Roman" w:eastAsia="Times New Roman" w:cs="Times New Roman"/>
                <w:sz w:val="20"/>
                <w:szCs w:val="20"/>
              </w:rPr>
            </w:pPr>
            <w:r>
              <w:rPr>
                <w:rFonts w:ascii="Times New Roman" w:hAnsi="Times New Roman" w:cs="Times New Roman"/>
                <w:i/>
                <w:sz w:val="20"/>
                <w:szCs w:val="20"/>
              </w:rPr>
              <w:t xml:space="preserve">(ES fondi: </w:t>
            </w:r>
            <w:r>
              <w:rPr>
                <w:rFonts w:ascii="Times New Roman" w:hAnsi="Times New Roman" w:eastAsia="Times New Roman" w:cs="Times New Roman"/>
                <w:i/>
                <w:iCs/>
                <w:sz w:val="20"/>
                <w:szCs w:val="20"/>
              </w:rPr>
              <w:t>Eiropas Savienības kohēzijas politikas programma 2021.–2027. gadam</w:t>
            </w:r>
            <w:r>
              <w:rPr>
                <w:rFonts w:ascii="Times New Roman" w:hAnsi="Times New Roman" w:cs="Times New Roman"/>
                <w:i/>
                <w:sz w:val="20"/>
                <w:szCs w:val="20"/>
              </w:rPr>
              <w:t>)</w:t>
            </w:r>
          </w:p>
        </w:tc>
      </w:tr>
      <w:tr w14:paraId="7B7B9AA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394DC1AA">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70B76AA">
            <w:pPr>
              <w:spacing w:after="120" w:line="240" w:lineRule="auto"/>
              <w:jc w:val="both"/>
              <w:rPr>
                <w:rFonts w:ascii="Times New Roman" w:hAnsi="Times New Roman" w:cs="Times New Roman"/>
                <w:bCs/>
                <w:sz w:val="20"/>
                <w:szCs w:val="20"/>
              </w:rPr>
            </w:pPr>
            <w:r>
              <w:rPr>
                <w:rFonts w:ascii="Times New Roman" w:hAnsi="Times New Roman" w:cs="Times New Roman"/>
                <w:bCs/>
                <w:sz w:val="20"/>
                <w:szCs w:val="20"/>
              </w:rPr>
              <w:t>Trīs robežšķērsošanas vietu - "Terehova", "Grebņeva", "Pāternieki" - TEN-T infrastruktūras modernizācijas darbi</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0DD444C8">
            <w:pPr>
              <w:spacing w:after="120" w:line="240" w:lineRule="auto"/>
              <w:jc w:val="both"/>
              <w:rPr>
                <w:rStyle w:val="60"/>
                <w:rFonts w:ascii="Times New Roman" w:hAnsi="Times New Roman" w:cs="Times New Roman" w:eastAsiaTheme="majorEastAsia"/>
                <w:sz w:val="20"/>
                <w:szCs w:val="20"/>
              </w:rPr>
            </w:pPr>
            <w:r>
              <w:rPr>
                <w:rStyle w:val="60"/>
                <w:rFonts w:ascii="Times New Roman" w:hAnsi="Times New Roman" w:cs="Times New Roman" w:eastAsiaTheme="majorEastAsia"/>
                <w:sz w:val="20"/>
                <w:szCs w:val="20"/>
              </w:rPr>
              <w:t>Veikta trīs robežšķērsošanas vietu modernizācija</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D03ABA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tiek īstenots tikai Austrumu pierobežā, rezultāti:</w:t>
            </w:r>
          </w:p>
          <w:p w14:paraId="7EB8E905">
            <w:pPr>
              <w:pStyle w:val="69"/>
              <w:spacing w:before="0" w:beforeAutospacing="0" w:after="120" w:afterAutospacing="0"/>
              <w:jc w:val="both"/>
              <w:textAlignment w:val="baseline"/>
              <w:rPr>
                <w:sz w:val="20"/>
                <w:szCs w:val="20"/>
              </w:rPr>
            </w:pPr>
            <w:r>
              <w:rPr>
                <w:sz w:val="20"/>
                <w:szCs w:val="20"/>
              </w:rPr>
              <w:t>Trīs objekti, kuros Kohēzijas fonda ieguldījumu rezultātā ir nodrošināta vides un informācijas pieejamība*</w:t>
            </w:r>
          </w:p>
          <w:p w14:paraId="235F6B39">
            <w:pPr>
              <w:pStyle w:val="69"/>
              <w:spacing w:before="0" w:beforeAutospacing="0" w:after="120" w:afterAutospacing="0"/>
              <w:jc w:val="both"/>
              <w:textAlignment w:val="baseline"/>
              <w:rPr>
                <w:rStyle w:val="60"/>
                <w:sz w:val="20"/>
                <w:szCs w:val="20"/>
              </w:rPr>
            </w:pPr>
            <w:r>
              <w:rPr>
                <w:sz w:val="20"/>
                <w:szCs w:val="20"/>
              </w:rPr>
              <w:t>Robežšķērsošanas vietās ("Terehova", "Grebņeva", "Pāternieki") uz Eiropas Savienības ārējās sauszemes robežas veikti infrastruktūras modernizācijas darbi**</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1EA136E3">
            <w:pPr>
              <w:spacing w:after="120" w:line="240" w:lineRule="auto"/>
              <w:jc w:val="center"/>
              <w:rPr>
                <w:rStyle w:val="60"/>
                <w:rFonts w:ascii="Times New Roman" w:hAnsi="Times New Roman" w:cs="Times New Roman"/>
                <w:sz w:val="20"/>
                <w:szCs w:val="20"/>
              </w:rPr>
            </w:pPr>
            <w:r>
              <w:rPr>
                <w:rStyle w:val="60"/>
                <w:rFonts w:ascii="Times New Roman" w:hAnsi="Times New Roman" w:cs="Times New Roman"/>
                <w:sz w:val="20"/>
                <w:szCs w:val="20"/>
              </w:rPr>
              <w:t>FM, VNĪ</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9C35964">
            <w:pPr>
              <w:spacing w:after="120" w:line="240" w:lineRule="auto"/>
              <w:jc w:val="center"/>
              <w:rPr>
                <w:rStyle w:val="60"/>
                <w:rFonts w:ascii="Times New Roman" w:hAnsi="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6490A46">
            <w:pPr>
              <w:spacing w:after="120" w:line="240" w:lineRule="auto"/>
              <w:jc w:val="center"/>
              <w:rPr>
                <w:rStyle w:val="60"/>
                <w:rFonts w:ascii="Times New Roman" w:hAnsi="Times New Roman" w:cs="Times New Roman"/>
                <w:sz w:val="20"/>
                <w:szCs w:val="20"/>
              </w:rPr>
            </w:pPr>
            <w:r>
              <w:rPr>
                <w:rStyle w:val="60"/>
                <w:rFonts w:ascii="Times New Roman" w:hAnsi="Times New Roman" w:cs="Times New Roman"/>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AA2F960">
            <w:pPr>
              <w:spacing w:after="0" w:line="240" w:lineRule="auto"/>
              <w:rPr>
                <w:rFonts w:ascii="Times New Roman" w:hAnsi="Times New Roman" w:cs="Times New Roman"/>
                <w:sz w:val="20"/>
                <w:szCs w:val="20"/>
              </w:rPr>
            </w:pPr>
            <w:r>
              <w:rPr>
                <w:rFonts w:ascii="Times New Roman" w:hAnsi="Times New Roman" w:cs="Times New Roman"/>
                <w:sz w:val="20"/>
                <w:szCs w:val="20"/>
              </w:rPr>
              <w:t>Pasākuma, kas tiek īstenots tikai Austrumu pierobežā, finansējums:</w:t>
            </w:r>
          </w:p>
          <w:p w14:paraId="452671D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35 727 489 </w:t>
            </w:r>
            <w:r>
              <w:rPr>
                <w:rFonts w:ascii="Times New Roman" w:hAnsi="Times New Roman" w:cs="Times New Roman"/>
                <w:i/>
                <w:iCs/>
                <w:color w:val="000000"/>
                <w:sz w:val="20"/>
                <w:szCs w:val="20"/>
              </w:rPr>
              <w:t>euro</w:t>
            </w:r>
          </w:p>
          <w:p w14:paraId="418CF86A">
            <w:pPr>
              <w:rPr>
                <w:rFonts w:ascii="Times New Roman" w:hAnsi="Times New Roman" w:cs="Times New Roman"/>
                <w:i/>
                <w:iCs/>
                <w:color w:val="000000"/>
                <w:sz w:val="20"/>
                <w:szCs w:val="20"/>
              </w:rPr>
            </w:pPr>
            <w:r>
              <w:rPr>
                <w:rFonts w:ascii="Times New Roman" w:hAnsi="Times New Roman" w:cs="Times New Roman"/>
                <w:i/>
                <w:iCs/>
                <w:color w:val="000000"/>
                <w:sz w:val="20"/>
                <w:szCs w:val="20"/>
              </w:rPr>
              <w:t>(ES fondi:</w:t>
            </w:r>
            <w:r>
              <w:rPr>
                <w:rFonts w:ascii="Times New Roman" w:hAnsi="Times New Roman" w:eastAsia="Times New Roman" w:cs="Times New Roman"/>
                <w:i/>
                <w:iCs/>
                <w:sz w:val="20"/>
                <w:szCs w:val="20"/>
              </w:rPr>
              <w:t xml:space="preserve"> Eiropas Savienības kohēzijas politikas programma 2021.–2027. gadam</w:t>
            </w:r>
            <w:r>
              <w:rPr>
                <w:rFonts w:ascii="Times New Roman" w:hAnsi="Times New Roman" w:cs="Times New Roman"/>
                <w:i/>
                <w:iCs/>
                <w:color w:val="000000"/>
                <w:sz w:val="20"/>
                <w:szCs w:val="20"/>
              </w:rPr>
              <w:t>)</w:t>
            </w:r>
          </w:p>
          <w:p w14:paraId="7B1BFB10">
            <w:pPr>
              <w:spacing w:after="0" w:line="240" w:lineRule="auto"/>
              <w:rPr>
                <w:rFonts w:ascii="Times New Roman" w:hAnsi="Times New Roman" w:cs="Times New Roman"/>
                <w:sz w:val="20"/>
                <w:szCs w:val="20"/>
              </w:rPr>
            </w:pPr>
          </w:p>
        </w:tc>
      </w:tr>
      <w:tr w14:paraId="527854C4">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3982B8EB">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A3164FB">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Izstrādāt PPP modeli pieejamu mājokļu būvniecībai ar īres subsīdijas mehānismu</w:t>
            </w:r>
            <w:r>
              <w:rPr>
                <w:rStyle w:val="20"/>
                <w:rFonts w:ascii="Times New Roman" w:hAnsi="Times New Roman" w:cs="Times New Roman"/>
                <w:bCs/>
                <w:sz w:val="20"/>
                <w:szCs w:val="20"/>
              </w:rPr>
              <w:footnoteReference w:id="47"/>
            </w:r>
          </w:p>
          <w:p w14:paraId="66FCF3FF">
            <w:pPr>
              <w:spacing w:line="240" w:lineRule="auto"/>
              <w:jc w:val="both"/>
              <w:rPr>
                <w:rFonts w:ascii="Times New Roman" w:hAnsi="Times New Roman" w:cs="Times New Roman"/>
                <w:b/>
                <w:sz w:val="20"/>
                <w:szCs w:val="20"/>
              </w:rPr>
            </w:pPr>
            <w:r>
              <w:rPr>
                <w:rFonts w:ascii="Times New Roman" w:hAnsi="Times New Roman" w:cs="Times New Roman"/>
                <w:b/>
                <w:sz w:val="20"/>
                <w:szCs w:val="20"/>
              </w:rPr>
              <w:t>Finansējums ir daļēji piešķirts, pasākums ietverts arī 3.pielikumā</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11297BA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Izstrādāta pieejamu cenu īres dzīvokļu attīstības programma, kura tai skaitā ir vērsta uz dzīvokļu izbūvi Latvijas Austrumu pierobežas teritorijā un veicina tās ekonomisko izaugsmi</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7ADA9A5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 (tiek izstrādāts vienots modelis visai Latvijai):</w:t>
            </w:r>
          </w:p>
          <w:p w14:paraId="0D9A07B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Izstrādāts PPP modelis kvalitatīvu, izmaksu ziņā pieejamu īres mājokļu būvniecībai ar īres subsīdiju atbilstoši teritorijas īres tirgus cenai.*</w:t>
            </w:r>
          </w:p>
          <w:p w14:paraId="7F7A1686">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Projekta īstenošanas rezultātā tiks nodrošināta pieejama īres maksa un  ilgtspējīgu investīciju nodrošināšanai tiks piesaistīts privātais kapitāls.**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09BF16DB">
            <w:pPr>
              <w:spacing w:after="120" w:line="240" w:lineRule="auto"/>
              <w:jc w:val="center"/>
              <w:rPr>
                <w:rFonts w:ascii="Times New Roman" w:hAnsi="Times New Roman" w:cs="Times New Roman"/>
                <w:bCs/>
                <w:sz w:val="20"/>
                <w:szCs w:val="20"/>
              </w:rPr>
            </w:pPr>
            <w:r>
              <w:rPr>
                <w:rFonts w:ascii="Times New Roman" w:hAnsi="Times New Roman" w:cs="Times New Roman"/>
                <w:sz w:val="20"/>
                <w:szCs w:val="20"/>
              </w:rPr>
              <w:t>FM, CFLA</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2DC92EC">
            <w:pPr>
              <w:spacing w:after="120" w:line="240" w:lineRule="auto"/>
              <w:jc w:val="center"/>
              <w:rPr>
                <w:rFonts w:ascii="Times New Roman" w:hAnsi="Times New Roman" w:eastAsia="Times New Roman" w:cs="Times New Roman"/>
                <w:b/>
                <w:bCs/>
                <w:sz w:val="20"/>
                <w:szCs w:val="20"/>
              </w:rPr>
            </w:pPr>
            <w:r>
              <w:rPr>
                <w:rFonts w:ascii="Times New Roman" w:hAnsi="Times New Roman" w:cs="Times New Roman"/>
                <w:sz w:val="20"/>
                <w:szCs w:val="20"/>
              </w:rPr>
              <w:t>EM, VNĪ</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2FD2686">
            <w:pPr>
              <w:spacing w:after="12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30.10.2026.</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BC8AD52">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Ar programmas izstrādi visā Latvijā saistītās administratīvās izmaksas: </w:t>
            </w:r>
          </w:p>
          <w:p w14:paraId="300DB30D">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2025. gads – 402 500 </w:t>
            </w:r>
            <w:r>
              <w:rPr>
                <w:rFonts w:ascii="Times New Roman" w:hAnsi="Times New Roman" w:cs="Times New Roman"/>
                <w:i/>
                <w:iCs/>
                <w:sz w:val="20"/>
                <w:szCs w:val="20"/>
              </w:rPr>
              <w:t>euro</w:t>
            </w:r>
            <w:r>
              <w:rPr>
                <w:rStyle w:val="20"/>
                <w:rFonts w:ascii="Times New Roman" w:hAnsi="Times New Roman" w:cs="Times New Roman"/>
                <w:sz w:val="20"/>
                <w:szCs w:val="20"/>
              </w:rPr>
              <w:footnoteReference w:id="48"/>
            </w:r>
          </w:p>
          <w:p w14:paraId="24BBC4C4">
            <w:pPr>
              <w:spacing w:line="240" w:lineRule="auto"/>
              <w:rPr>
                <w:rFonts w:ascii="Times New Roman" w:hAnsi="Times New Roman" w:eastAsia="Times New Roman" w:cs="Times New Roman"/>
                <w:sz w:val="20"/>
                <w:szCs w:val="20"/>
              </w:rPr>
            </w:pPr>
            <w:r>
              <w:rPr>
                <w:rFonts w:ascii="Times New Roman" w:hAnsi="Times New Roman" w:cs="Times New Roman"/>
                <w:i/>
                <w:sz w:val="20"/>
                <w:szCs w:val="20"/>
              </w:rPr>
              <w:t>(Valsts budžets)</w:t>
            </w:r>
          </w:p>
        </w:tc>
      </w:tr>
      <w:tr w14:paraId="23BDFB03">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0E851689">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4A9858F">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5.1.1.3. pasākums “Publiskās ārtelpas attīstība”</w:t>
            </w:r>
          </w:p>
          <w:p w14:paraId="22BE4A1B">
            <w:pPr>
              <w:spacing w:line="240" w:lineRule="auto"/>
              <w:jc w:val="both"/>
              <w:rPr>
                <w:rFonts w:ascii="Times New Roman" w:hAnsi="Times New Roman" w:cs="Times New Roman"/>
                <w:bCs/>
                <w:sz w:val="20"/>
                <w:szCs w:val="20"/>
              </w:rPr>
            </w:pPr>
            <w:r>
              <w:rPr>
                <w:rFonts w:ascii="Times New Roman" w:hAnsi="Times New Roman" w:cs="Times New Roman"/>
                <w:b/>
                <w:bCs/>
                <w:sz w:val="20"/>
                <w:szCs w:val="20"/>
              </w:rPr>
              <w:t>Pasākumā paredzēts piemērot labvēlīgu koeficientu Latgales plānošanas reģionam</w:t>
            </w:r>
            <w:r>
              <w:rPr>
                <w:rFonts w:ascii="Times New Roman" w:hAnsi="Times New Roman" w:cs="Times New Roman"/>
                <w:bCs/>
                <w:sz w:val="20"/>
                <w:szCs w:val="20"/>
              </w:rPr>
              <w:t xml:space="preserve"> - finansējums katram plānošanas reģionam tiek noteikts pēc IKP uz vienu iedzīvotāju apgrieztās proporcijas, lielāku finansējumu paredzot reģioniem, kuros uz vienu iedzīvotāju ir zemāks IKP.</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2B6513C6">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Projektā atbalstāmās darbības ietver investīcijas publiskās ārtelpas attīstībai:</w:t>
            </w:r>
          </w:p>
          <w:p w14:paraId="5FB45AB6">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teritorijas labiekārtošana un ar to saistītie pasākumi;</w:t>
            </w:r>
          </w:p>
          <w:p w14:paraId="2508D268">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elektroenerģijas, ūdenssaimniecības un siltumapgādes pieslēgumu ierīkošana un to saistītās jaudas palielināšana;</w:t>
            </w:r>
          </w:p>
          <w:p w14:paraId="5E7CB4E6">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dziļurbuma ierīkošana dzeramā ūdens padeves nodrošināšanai, ja pieslēgšanās centralizētajai ūdensapgādes sistēmai nav iespējama;</w:t>
            </w:r>
          </w:p>
          <w:p w14:paraId="5296EC8A">
            <w:pPr>
              <w:pStyle w:val="52"/>
              <w:numPr>
                <w:ilvl w:val="0"/>
                <w:numId w:val="19"/>
              </w:numPr>
              <w:spacing w:after="0" w:line="240" w:lineRule="auto"/>
              <w:ind w:left="167" w:hanging="167"/>
              <w:jc w:val="both"/>
              <w:rPr>
                <w:rFonts w:ascii="Times New Roman" w:hAnsi="Times New Roman" w:cs="Times New Roman"/>
                <w:sz w:val="20"/>
                <w:szCs w:val="20"/>
              </w:rPr>
            </w:pPr>
            <w:r>
              <w:rPr>
                <w:rFonts w:ascii="Times New Roman" w:hAnsi="Times New Roman" w:eastAsia="Times New Roman" w:cs="Times New Roman"/>
                <w:sz w:val="20"/>
                <w:szCs w:val="20"/>
              </w:rPr>
              <w:t>publicitātes pasākumi par projekta īstenošanu;</w:t>
            </w:r>
          </w:p>
          <w:p w14:paraId="792DBA75">
            <w:pPr>
              <w:pStyle w:val="52"/>
              <w:numPr>
                <w:ilvl w:val="0"/>
                <w:numId w:val="19"/>
              </w:numPr>
              <w:spacing w:after="0" w:line="240" w:lineRule="auto"/>
              <w:ind w:left="167" w:hanging="167"/>
              <w:jc w:val="both"/>
              <w:rPr>
                <w:rFonts w:ascii="Times New Roman" w:hAnsi="Times New Roman" w:cs="Times New Roman"/>
                <w:sz w:val="20"/>
                <w:szCs w:val="20"/>
              </w:rPr>
            </w:pPr>
            <w:r>
              <w:rPr>
                <w:rFonts w:ascii="Times New Roman" w:hAnsi="Times New Roman" w:eastAsia="Times New Roman" w:cs="Times New Roman"/>
                <w:sz w:val="20"/>
                <w:szCs w:val="20"/>
              </w:rPr>
              <w:t>projekta vadības nodrošināšana.</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0246355">
            <w:pPr>
              <w:spacing w:after="120" w:line="240" w:lineRule="auto"/>
              <w:jc w:val="both"/>
              <w:rPr>
                <w:rFonts w:ascii="Times New Roman" w:hAnsi="Times New Roman" w:cs="Times New Roman"/>
                <w:bCs/>
                <w:sz w:val="20"/>
                <w:szCs w:val="20"/>
              </w:rPr>
            </w:pPr>
            <w:r>
              <w:rPr>
                <w:rFonts w:ascii="Times New Roman" w:hAnsi="Times New Roman" w:cs="Times New Roman"/>
                <w:bCs/>
                <w:sz w:val="20"/>
                <w:szCs w:val="20"/>
              </w:rPr>
              <w:t>Rezultāti visā Latvijā:</w:t>
            </w:r>
          </w:p>
          <w:p w14:paraId="775E9FDB">
            <w:pPr>
              <w:spacing w:after="12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Publiskās ārtelpas attīstībai piesaistītais finansējums: 26 736 305 </w:t>
            </w:r>
            <w:r>
              <w:rPr>
                <w:rFonts w:ascii="Times New Roman" w:hAnsi="Times New Roman" w:cs="Times New Roman"/>
                <w:bCs/>
                <w:i/>
                <w:iCs/>
                <w:sz w:val="20"/>
                <w:szCs w:val="20"/>
              </w:rPr>
              <w:t>euro</w:t>
            </w:r>
            <w:r>
              <w:rPr>
                <w:rFonts w:ascii="Times New Roman" w:hAnsi="Times New Roman" w:cs="Times New Roman"/>
                <w:bCs/>
                <w:sz w:val="20"/>
                <w:szCs w:val="20"/>
              </w:rPr>
              <w:t>*</w:t>
            </w:r>
          </w:p>
          <w:p w14:paraId="4E37E900">
            <w:pPr>
              <w:spacing w:after="120" w:line="240" w:lineRule="auto"/>
              <w:jc w:val="both"/>
              <w:rPr>
                <w:rFonts w:ascii="Times New Roman" w:hAnsi="Times New Roman" w:cs="Times New Roman"/>
                <w:sz w:val="20"/>
                <w:szCs w:val="20"/>
                <w:vertAlign w:val="superscript"/>
              </w:rPr>
            </w:pPr>
            <w:r>
              <w:rPr>
                <w:rFonts w:ascii="Times New Roman" w:hAnsi="Times New Roman" w:cs="Times New Roman"/>
                <w:bCs/>
                <w:sz w:val="20"/>
                <w:szCs w:val="20"/>
              </w:rPr>
              <w:t>Jaunizveidotas vai atjaunotas atvērtās zonas (publiskās teritorijas) pilsētvidē – 132 944 m</w:t>
            </w:r>
            <w:r>
              <w:rPr>
                <w:rFonts w:ascii="Times New Roman" w:hAnsi="Times New Roman" w:cs="Times New Roman"/>
                <w:sz w:val="20"/>
                <w:szCs w:val="20"/>
                <w:vertAlign w:val="superscript"/>
              </w:rPr>
              <w:t>2</w:t>
            </w:r>
            <w:r>
              <w:rPr>
                <w:rFonts w:ascii="Times New Roman" w:hAnsi="Times New Roman" w:cs="Times New Roman"/>
                <w:sz w:val="20"/>
                <w:szCs w:val="20"/>
              </w:rPr>
              <w:t>**</w:t>
            </w:r>
          </w:p>
          <w:p w14:paraId="3B9D8EA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0F538DD5">
            <w:pPr>
              <w:spacing w:after="12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Publiskās ārtelpas attīstībai piesaistītais finansējums: 6 647 433 </w:t>
            </w:r>
            <w:r>
              <w:rPr>
                <w:rFonts w:ascii="Times New Roman" w:hAnsi="Times New Roman" w:cs="Times New Roman"/>
                <w:bCs/>
                <w:i/>
                <w:iCs/>
                <w:sz w:val="20"/>
                <w:szCs w:val="20"/>
              </w:rPr>
              <w:t>euro</w:t>
            </w:r>
            <w:r>
              <w:rPr>
                <w:rFonts w:ascii="Times New Roman" w:hAnsi="Times New Roman" w:cs="Times New Roman"/>
                <w:bCs/>
                <w:sz w:val="20"/>
                <w:szCs w:val="20"/>
              </w:rPr>
              <w:t>*</w:t>
            </w:r>
          </w:p>
          <w:p w14:paraId="6A5713BC">
            <w:pPr>
              <w:spacing w:after="120" w:line="240" w:lineRule="auto"/>
              <w:jc w:val="both"/>
              <w:rPr>
                <w:rFonts w:ascii="Times New Roman" w:hAnsi="Times New Roman" w:cs="Times New Roman"/>
                <w:sz w:val="20"/>
                <w:szCs w:val="20"/>
              </w:rPr>
            </w:pPr>
            <w:r>
              <w:rPr>
                <w:rFonts w:ascii="Times New Roman" w:hAnsi="Times New Roman" w:cs="Times New Roman"/>
                <w:bCs/>
                <w:sz w:val="20"/>
                <w:szCs w:val="20"/>
              </w:rPr>
              <w:t>Jaunizveidotas vai atjaunotas atvērtās zonas (publiskās teritorijas) pilsētvidē – 240 482 m</w:t>
            </w:r>
            <w:r>
              <w:rPr>
                <w:rFonts w:ascii="Times New Roman" w:hAnsi="Times New Roman" w:cs="Times New Roman"/>
                <w:sz w:val="20"/>
                <w:szCs w:val="20"/>
                <w:vertAlign w:val="superscript"/>
              </w:rPr>
              <w:t xml:space="preserve">2 </w:t>
            </w:r>
            <w:r>
              <w:rPr>
                <w:rFonts w:ascii="Times New Roman" w:hAnsi="Times New Roman" w:cs="Times New Roman"/>
                <w:sz w:val="20"/>
                <w:szCs w:val="20"/>
              </w:rPr>
              <w:t>(pēc fakta, nevis plānotais)**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299D0F9B">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96C6DE7">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CFLA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FC0DA10">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 xml:space="preserve">2026.gada 31.decembris </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348A39E">
            <w:pPr>
              <w:spacing w:after="120" w:line="240" w:lineRule="auto"/>
              <w:rPr>
                <w:rFonts w:ascii="Times New Roman" w:hAnsi="Times New Roman" w:cs="Times New Roman"/>
                <w:bCs/>
                <w:sz w:val="20"/>
                <w:szCs w:val="20"/>
              </w:rPr>
            </w:pPr>
            <w:r>
              <w:rPr>
                <w:rFonts w:ascii="Times New Roman" w:hAnsi="Times New Roman" w:eastAsia="Times New Roman" w:cs="Times New Roman"/>
                <w:sz w:val="20"/>
                <w:szCs w:val="20"/>
              </w:rPr>
              <w:t>Kopējais finansējums visā Latvijā</w:t>
            </w:r>
            <w:r>
              <w:rPr>
                <w:rFonts w:ascii="Times New Roman" w:hAnsi="Times New Roman" w:cs="Times New Roman"/>
                <w:bCs/>
                <w:sz w:val="20"/>
                <w:szCs w:val="20"/>
              </w:rPr>
              <w:t>:</w:t>
            </w:r>
          </w:p>
          <w:p w14:paraId="3E468695">
            <w:pPr>
              <w:spacing w:after="120" w:line="240" w:lineRule="auto"/>
              <w:rPr>
                <w:rFonts w:ascii="Times New Roman" w:hAnsi="Times New Roman" w:cs="Times New Roman"/>
                <w:bCs/>
                <w:sz w:val="20"/>
                <w:szCs w:val="20"/>
              </w:rPr>
            </w:pPr>
            <w:r>
              <w:rPr>
                <w:rFonts w:ascii="Times New Roman" w:hAnsi="Times New Roman" w:cs="Times New Roman"/>
                <w:bCs/>
                <w:sz w:val="20"/>
                <w:szCs w:val="20"/>
              </w:rPr>
              <w:t xml:space="preserve">26 736 305 </w:t>
            </w:r>
            <w:r>
              <w:rPr>
                <w:rFonts w:ascii="Times New Roman" w:hAnsi="Times New Roman" w:cs="Times New Roman"/>
                <w:bCs/>
                <w:i/>
                <w:iCs/>
                <w:sz w:val="20"/>
                <w:szCs w:val="20"/>
              </w:rPr>
              <w:t>euro</w:t>
            </w:r>
          </w:p>
          <w:p w14:paraId="45DC9F1E">
            <w:pPr>
              <w:spacing w:after="120" w:line="240" w:lineRule="auto"/>
              <w:rPr>
                <w:rFonts w:ascii="Times New Roman" w:hAnsi="Times New Roman" w:cs="Times New Roman"/>
                <w:bCs/>
                <w:sz w:val="20"/>
                <w:szCs w:val="20"/>
              </w:rPr>
            </w:pPr>
            <w:r>
              <w:rPr>
                <w:rFonts w:ascii="Times New Roman" w:hAnsi="Times New Roman" w:cs="Times New Roman"/>
                <w:bCs/>
                <w:sz w:val="20"/>
                <w:szCs w:val="20"/>
              </w:rPr>
              <w:t xml:space="preserve">Austrumu pierobežas pašvaldībām plānotais kopējais ES fondu finansējums: </w:t>
            </w:r>
          </w:p>
          <w:p w14:paraId="72A06A00">
            <w:pPr>
              <w:spacing w:after="120" w:line="240" w:lineRule="auto"/>
              <w:rPr>
                <w:rFonts w:ascii="Times New Roman" w:hAnsi="Times New Roman" w:cs="Times New Roman"/>
                <w:bCs/>
                <w:sz w:val="20"/>
                <w:szCs w:val="20"/>
              </w:rPr>
            </w:pPr>
            <w:r>
              <w:rPr>
                <w:rFonts w:ascii="Times New Roman" w:hAnsi="Times New Roman" w:cs="Times New Roman"/>
                <w:bCs/>
                <w:sz w:val="20"/>
                <w:szCs w:val="20"/>
              </w:rPr>
              <w:t xml:space="preserve">6 647 433 </w:t>
            </w:r>
            <w:r>
              <w:rPr>
                <w:rFonts w:ascii="Times New Roman" w:hAnsi="Times New Roman" w:cs="Times New Roman"/>
                <w:bCs/>
                <w:i/>
                <w:iCs/>
                <w:sz w:val="20"/>
                <w:szCs w:val="20"/>
              </w:rPr>
              <w:t>euro</w:t>
            </w:r>
          </w:p>
          <w:p w14:paraId="447A528E">
            <w:pPr>
              <w:spacing w:after="120" w:line="240" w:lineRule="auto"/>
              <w:rPr>
                <w:rFonts w:ascii="Times New Roman" w:hAnsi="Times New Roman" w:cs="Times New Roman"/>
                <w:i/>
                <w:iCs/>
                <w:sz w:val="20"/>
                <w:szCs w:val="20"/>
              </w:rPr>
            </w:pPr>
            <w:r>
              <w:rPr>
                <w:rFonts w:ascii="Times New Roman" w:hAnsi="Times New Roman" w:cs="Times New Roman"/>
                <w:bCs/>
                <w:i/>
                <w:iCs/>
                <w:sz w:val="20"/>
                <w:szCs w:val="20"/>
              </w:rPr>
              <w:t xml:space="preserve">(ES fondi: </w:t>
            </w:r>
            <w:r>
              <w:rPr>
                <w:rFonts w:ascii="Times New Roman" w:hAnsi="Times New Roman" w:eastAsia="Times New Roman" w:cs="Times New Roman"/>
                <w:i/>
                <w:iCs/>
                <w:sz w:val="20"/>
                <w:szCs w:val="20"/>
              </w:rPr>
              <w:t>Eiropas Savienības kohēzijas politikas programma 2021.–2027. gadam</w:t>
            </w:r>
            <w:r>
              <w:rPr>
                <w:rFonts w:ascii="Times New Roman" w:hAnsi="Times New Roman" w:cs="Times New Roman"/>
                <w:bCs/>
                <w:i/>
                <w:iCs/>
                <w:sz w:val="20"/>
                <w:szCs w:val="20"/>
              </w:rPr>
              <w:t>)</w:t>
            </w:r>
          </w:p>
        </w:tc>
      </w:tr>
      <w:tr w14:paraId="2B7D0B7D">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62B4E2CC">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06D95AF">
            <w:pPr>
              <w:spacing w:line="240" w:lineRule="auto"/>
              <w:jc w:val="both"/>
              <w:rPr>
                <w:rFonts w:ascii="Times New Roman" w:hAnsi="Times New Roman" w:cs="Times New Roman"/>
                <w:bCs/>
                <w:sz w:val="20"/>
                <w:szCs w:val="20"/>
              </w:rPr>
            </w:pPr>
            <w:r>
              <w:rPr>
                <w:rFonts w:ascii="Times New Roman" w:hAnsi="Times New Roman" w:cs="Times New Roman"/>
                <w:sz w:val="20"/>
                <w:szCs w:val="20"/>
              </w:rPr>
              <w:t>3.1.1.3.i. investīcija “Investīcijas uzņēmējdarbības publiskajā infrastruktūrā industriālo parku un teritoriju attīstīšanai reģionos”</w:t>
            </w:r>
            <w:r>
              <w:rPr>
                <w:rStyle w:val="20"/>
                <w:rFonts w:ascii="Times New Roman" w:hAnsi="Times New Roman" w:cs="Times New Roman"/>
                <w:sz w:val="20"/>
                <w:szCs w:val="20"/>
              </w:rPr>
              <w:footnoteReference w:id="49"/>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29AAE2B3">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jaunas industriālās teritorijas izveidošana vai esošās industriālās teritorijas attīstīšana;</w:t>
            </w:r>
          </w:p>
          <w:p w14:paraId="1BC7BBB4">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industriālo pieslēgumu ierīkošana (tai skaitā siltumapgāde, dzeramā ūdens apgāde un kanalizācija, elektroenerģija) un to saistītās jaudas palielināšana;</w:t>
            </w:r>
          </w:p>
          <w:p w14:paraId="5878B797">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pievedceļu atjaunošana vai ierīkošana pie industriālajām teritorijām;</w:t>
            </w:r>
          </w:p>
          <w:p w14:paraId="171431CB">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komercdarbības mērķiem paredzēto ražošanas ēku un ar tām saistītās infrastruktūras attīstīšana, tai skaitā inženiertehniskās sistēmas un iekārtas, kas ražo enerģiju no atjaunojamiem energoresursiem</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0BC161C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303BE383">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Pabeigta vismaz četru nacionālas nozīmes industriālo parku un teritoriju būvniecība reģionos*</w:t>
            </w:r>
          </w:p>
          <w:p w14:paraId="3F87488D">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Parakstīti vismaz četri nodomu protokoli vai līgumi ar starptautiski atzītiem industriālo parku operatoriem vai potenciālajiem investoriem, radot nefinanšu investīcijas vismaz 85 741 349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apmērā**</w:t>
            </w:r>
          </w:p>
          <w:p w14:paraId="212B9670">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Radītas vismaz 328 darba vietas industriālajos parkos viedās specializācijas jomās ar algu, kas pārsniedz attiecīgā plānošanas reģiona vidējo darba samaksu attiecīgajā tautsaimniecības nozarē**</w:t>
            </w:r>
          </w:p>
          <w:p w14:paraId="61491166">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Austrumu pierobežā/Latgales plānošanas reģionā:</w:t>
            </w:r>
          </w:p>
          <w:p w14:paraId="22C55BE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Pabeigta vismaz viena nacionālas nozīmes industriālo parku un teritoriju būvniecība*</w:t>
            </w:r>
          </w:p>
          <w:p w14:paraId="6012066A">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Parakstīts vismaz viens nodomu protokols vai līgums ar starptautiski atzītiem industriālo parku operatoriem vai potenciālajiem investoriem, radot nefinanšu investīcijas vismaz 18</w:t>
            </w:r>
            <w:r>
              <w:rPr>
                <w:rFonts w:ascii="Times New Roman" w:hAnsi="Times New Roman" w:cs="Times New Roman"/>
                <w:sz w:val="20"/>
                <w:szCs w:val="20"/>
              </w:rPr>
              <w:t> </w:t>
            </w:r>
            <w:r>
              <w:rPr>
                <w:rFonts w:ascii="Times New Roman" w:hAnsi="Times New Roman" w:eastAsia="Times New Roman" w:cs="Times New Roman"/>
                <w:sz w:val="20"/>
                <w:szCs w:val="20"/>
              </w:rPr>
              <w:t>360</w:t>
            </w:r>
            <w:r>
              <w:rPr>
                <w:rFonts w:ascii="Times New Roman" w:hAnsi="Times New Roman" w:cs="Times New Roman"/>
                <w:sz w:val="20"/>
                <w:szCs w:val="20"/>
              </w:rPr>
              <w:t> </w:t>
            </w:r>
            <w:r>
              <w:rPr>
                <w:rFonts w:ascii="Times New Roman" w:hAnsi="Times New Roman" w:eastAsia="Times New Roman" w:cs="Times New Roman"/>
                <w:sz w:val="20"/>
                <w:szCs w:val="20"/>
              </w:rPr>
              <w:t xml:space="preserve">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apmērā**</w:t>
            </w:r>
          </w:p>
          <w:p w14:paraId="7CC6FCB4">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Radītas vismaz 82 darba vietas industriālajos parkos viedās specializācijas jomās ar algu, kas pārsniedz attiecīgā plānošanas reģiona vidējo darba samaksu attiecīgajā tautsaimniecības nozarē**</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78D97BED">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A741AB9">
            <w:pPr>
              <w:spacing w:after="120" w:line="240" w:lineRule="auto"/>
              <w:jc w:val="center"/>
              <w:rPr>
                <w:rFonts w:ascii="Times New Roman" w:hAnsi="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3320D23">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2026.gads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2A458AA">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Kopējais programmas finansējums visā Latvijā: </w:t>
            </w:r>
          </w:p>
          <w:p w14:paraId="1BE0F609">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80 000 000 </w:t>
            </w:r>
            <w:r>
              <w:rPr>
                <w:rFonts w:ascii="Times New Roman" w:hAnsi="Times New Roman" w:eastAsia="Times New Roman" w:cs="Times New Roman"/>
                <w:i/>
                <w:iCs/>
                <w:sz w:val="20"/>
                <w:szCs w:val="20"/>
              </w:rPr>
              <w:t>euro</w:t>
            </w:r>
          </w:p>
          <w:p w14:paraId="389D59EF">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Latgales plānošanas reģionā:</w:t>
            </w:r>
          </w:p>
          <w:p w14:paraId="762AEC0E">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20 000 000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w:t>
            </w:r>
          </w:p>
          <w:p w14:paraId="122EE111">
            <w:pPr>
              <w:spacing w:after="120" w:line="240" w:lineRule="auto"/>
              <w:rPr>
                <w:rFonts w:ascii="Times New Roman" w:hAnsi="Times New Roman" w:cs="Times New Roman"/>
                <w:i/>
                <w:sz w:val="20"/>
                <w:szCs w:val="20"/>
              </w:rPr>
            </w:pPr>
            <w:r>
              <w:rPr>
                <w:rFonts w:ascii="Times New Roman" w:hAnsi="Times New Roman" w:eastAsia="Times New Roman" w:cs="Times New Roman"/>
                <w:i/>
                <w:iCs/>
                <w:sz w:val="20"/>
                <w:szCs w:val="20"/>
              </w:rPr>
              <w:t>(ES fondi: Atjaunošanas un noturības mehānisms)</w:t>
            </w:r>
          </w:p>
        </w:tc>
      </w:tr>
      <w:tr w14:paraId="11BBA96F">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62423339">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912E6B1">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Remigrācijas veicināšana</w:t>
            </w:r>
          </w:p>
          <w:p w14:paraId="20B3F0DE">
            <w:pPr>
              <w:spacing w:line="240" w:lineRule="auto"/>
              <w:jc w:val="both"/>
              <w:rPr>
                <w:rFonts w:ascii="Times New Roman" w:hAnsi="Times New Roman" w:cs="Times New Roman"/>
                <w:bCs/>
                <w:sz w:val="20"/>
                <w:szCs w:val="20"/>
              </w:rPr>
            </w:pP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3754393E">
            <w:pPr>
              <w:spacing w:after="0" w:line="240" w:lineRule="auto"/>
              <w:contextualSpacing/>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Sagatavoti personalizēti informācijas piedāvājumi potenciālajiem</w:t>
            </w:r>
          </w:p>
          <w:p w14:paraId="3524CDC0">
            <w:pPr>
              <w:spacing w:after="0" w:line="240" w:lineRule="auto"/>
              <w:contextualSpacing/>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remigrantiem un</w:t>
            </w:r>
          </w:p>
          <w:p w14:paraId="5FF60A80">
            <w:pPr>
              <w:spacing w:after="0" w:line="240" w:lineRule="auto"/>
              <w:contextualSpacing/>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remigrantiem; ar</w:t>
            </w:r>
          </w:p>
          <w:p w14:paraId="7CFDC2D6">
            <w:pPr>
              <w:spacing w:after="0" w:line="240" w:lineRule="auto"/>
              <w:contextualSpacing/>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koordinatoru atbalstu</w:t>
            </w:r>
          </w:p>
          <w:p w14:paraId="2E2892FD">
            <w:pPr>
              <w:spacing w:after="0" w:line="240" w:lineRule="auto"/>
              <w:contextualSpacing/>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Latvijā ir atgriezušas</w:t>
            </w:r>
          </w:p>
          <w:p w14:paraId="659BC881">
            <w:pPr>
              <w:spacing w:after="0" w:line="240" w:lineRule="auto"/>
              <w:contextualSpacing/>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personas pēc ilgstošas</w:t>
            </w:r>
          </w:p>
          <w:p w14:paraId="7E51CC82">
            <w:pPr>
              <w:spacing w:after="0" w:line="240" w:lineRule="auto"/>
              <w:contextualSpacing/>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prombūtnes ārvalstīs. </w:t>
            </w:r>
          </w:p>
          <w:p w14:paraId="322C425A">
            <w:pPr>
              <w:spacing w:after="0" w:line="240" w:lineRule="auto"/>
              <w:contextualSpacing/>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Atbalsts jaunu produktu un/vai pakalpojumu attīstībai reģionālā mērogā, nodrošinot remigrācijas priekšnoteikumus.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01965663">
            <w:pPr>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5B33102A">
            <w:pPr>
              <w:jc w:val="both"/>
              <w:rPr>
                <w:rFonts w:ascii="Times New Roman" w:hAnsi="Times New Roman" w:cs="Times New Roman"/>
                <w:sz w:val="20"/>
                <w:szCs w:val="20"/>
              </w:rPr>
            </w:pPr>
            <w:r>
              <w:rPr>
                <w:rFonts w:ascii="Times New Roman" w:hAnsi="Times New Roman" w:cs="Times New Roman"/>
                <w:sz w:val="20"/>
                <w:szCs w:val="20"/>
              </w:rPr>
              <w:t>Sagatavoti  personalizēti piedāvājumi gadā – 1 500*</w:t>
            </w:r>
          </w:p>
          <w:p w14:paraId="23242E18">
            <w:pPr>
              <w:jc w:val="both"/>
              <w:rPr>
                <w:rFonts w:ascii="Times New Roman" w:hAnsi="Times New Roman" w:cs="Times New Roman"/>
                <w:sz w:val="20"/>
                <w:szCs w:val="20"/>
              </w:rPr>
            </w:pPr>
            <w:r>
              <w:rPr>
                <w:rFonts w:ascii="Times New Roman" w:hAnsi="Times New Roman" w:cs="Times New Roman"/>
                <w:sz w:val="20"/>
                <w:szCs w:val="20"/>
              </w:rPr>
              <w:t>Atbalstīti remigrantu jaunie uzņēmumi vai radītas jaunas darba vietas remigrācijas atbalstam, gadā – 50**</w:t>
            </w:r>
          </w:p>
          <w:p w14:paraId="66B44C68">
            <w:pPr>
              <w:jc w:val="both"/>
              <w:rPr>
                <w:rFonts w:ascii="Times New Roman" w:hAnsi="Times New Roman" w:cs="Times New Roman"/>
                <w:sz w:val="20"/>
                <w:szCs w:val="20"/>
              </w:rPr>
            </w:pPr>
            <w:r>
              <w:rPr>
                <w:rFonts w:ascii="Times New Roman" w:hAnsi="Times New Roman" w:cs="Times New Roman"/>
                <w:sz w:val="20"/>
                <w:szCs w:val="20"/>
              </w:rPr>
              <w:t>Latvijā ar koordinatoru atbalstu ir atgriezušās personas gadā - 1 750**</w:t>
            </w:r>
          </w:p>
          <w:p w14:paraId="20BE4303">
            <w:pPr>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680259CB">
            <w:pPr>
              <w:jc w:val="both"/>
              <w:rPr>
                <w:rFonts w:ascii="Times New Roman" w:hAnsi="Times New Roman" w:cs="Times New Roman"/>
                <w:sz w:val="20"/>
                <w:szCs w:val="20"/>
              </w:rPr>
            </w:pPr>
            <w:r>
              <w:rPr>
                <w:rFonts w:ascii="Times New Roman" w:hAnsi="Times New Roman" w:cs="Times New Roman"/>
                <w:sz w:val="20"/>
                <w:szCs w:val="20"/>
              </w:rPr>
              <w:t>Sagatavoti  personalizēti piedāvājumi gadā – 300*</w:t>
            </w:r>
          </w:p>
          <w:p w14:paraId="6DB57743">
            <w:pPr>
              <w:jc w:val="both"/>
              <w:rPr>
                <w:rFonts w:ascii="Times New Roman" w:hAnsi="Times New Roman" w:cs="Times New Roman"/>
                <w:sz w:val="20"/>
                <w:szCs w:val="20"/>
              </w:rPr>
            </w:pPr>
            <w:r>
              <w:rPr>
                <w:rFonts w:ascii="Times New Roman" w:hAnsi="Times New Roman" w:cs="Times New Roman"/>
                <w:sz w:val="20"/>
                <w:szCs w:val="20"/>
              </w:rPr>
              <w:t>Atbalstīti remigrantu jaunie uzņēmumi vai radītas jaunas darba vietas remigrācijas atbalstam, gadā – 10**</w:t>
            </w:r>
          </w:p>
          <w:p w14:paraId="66FA3808">
            <w:pPr>
              <w:jc w:val="both"/>
              <w:rPr>
                <w:rFonts w:ascii="Times New Roman" w:hAnsi="Times New Roman" w:cs="Times New Roman"/>
                <w:sz w:val="20"/>
                <w:szCs w:val="20"/>
              </w:rPr>
            </w:pPr>
            <w:r>
              <w:rPr>
                <w:rFonts w:ascii="Times New Roman" w:hAnsi="Times New Roman" w:cs="Times New Roman"/>
                <w:sz w:val="20"/>
                <w:szCs w:val="20"/>
              </w:rPr>
              <w:t>Latvijā ar koordinatoru atbalstu ir atgriezušās personas gadā – 95**</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284473BC">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518AB3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Plānošanas reģioni</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E6C63F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350D035">
            <w:pPr>
              <w:spacing w:after="120" w:line="240" w:lineRule="auto"/>
              <w:rPr>
                <w:rFonts w:ascii="Times New Roman" w:hAnsi="Times New Roman" w:cs="Times New Roman"/>
                <w:sz w:val="20"/>
                <w:szCs w:val="20"/>
              </w:rPr>
            </w:pPr>
            <w:r>
              <w:rPr>
                <w:rFonts w:ascii="Times New Roman" w:hAnsi="Times New Roman" w:eastAsia="Times New Roman" w:cs="Times New Roman"/>
                <w:sz w:val="20"/>
                <w:szCs w:val="20"/>
              </w:rPr>
              <w:t>Kopējais finansējums visā Latvijā</w:t>
            </w:r>
            <w:r>
              <w:rPr>
                <w:rFonts w:ascii="Times New Roman" w:hAnsi="Times New Roman" w:cs="Times New Roman"/>
                <w:sz w:val="20"/>
                <w:szCs w:val="20"/>
              </w:rPr>
              <w:t xml:space="preserve">: </w:t>
            </w:r>
          </w:p>
          <w:p w14:paraId="18C6DBCB">
            <w:pPr>
              <w:spacing w:after="120" w:line="240" w:lineRule="auto"/>
              <w:rPr>
                <w:rFonts w:ascii="Times New Roman" w:hAnsi="Times New Roman" w:cs="Times New Roman"/>
                <w:sz w:val="20"/>
                <w:szCs w:val="20"/>
              </w:rPr>
            </w:pPr>
            <w:r>
              <w:rPr>
                <w:rFonts w:ascii="Times New Roman" w:hAnsi="Times New Roman" w:cs="Times New Roman"/>
                <w:iCs/>
                <w:sz w:val="20"/>
                <w:szCs w:val="20"/>
              </w:rPr>
              <w:t>905 932</w:t>
            </w:r>
            <w:r>
              <w:rPr>
                <w:rFonts w:ascii="Times New Roman" w:hAnsi="Times New Roman" w:cs="Times New Roman"/>
                <w:sz w:val="20"/>
                <w:szCs w:val="20"/>
              </w:rPr>
              <w:t xml:space="preserve"> </w:t>
            </w:r>
            <w:r>
              <w:rPr>
                <w:rFonts w:ascii="Times New Roman" w:hAnsi="Times New Roman" w:cs="Times New Roman"/>
                <w:i/>
                <w:iCs/>
                <w:sz w:val="20"/>
                <w:szCs w:val="20"/>
              </w:rPr>
              <w:t>euro</w:t>
            </w:r>
          </w:p>
          <w:p w14:paraId="5CFEAC36">
            <w:pPr>
              <w:spacing w:after="120" w:line="240" w:lineRule="auto"/>
              <w:rPr>
                <w:rFonts w:ascii="Times New Roman" w:hAnsi="Times New Roman" w:cs="Times New Roman"/>
                <w:sz w:val="20"/>
                <w:szCs w:val="20"/>
              </w:rPr>
            </w:pPr>
            <w:r>
              <w:rPr>
                <w:rFonts w:ascii="Times New Roman" w:hAnsi="Times New Roman" w:cs="Times New Roman"/>
                <w:iCs/>
                <w:sz w:val="20"/>
                <w:szCs w:val="20"/>
              </w:rPr>
              <w:t xml:space="preserve">Finansējums </w:t>
            </w:r>
            <w:r>
              <w:rPr>
                <w:rFonts w:ascii="Times New Roman" w:hAnsi="Times New Roman" w:cs="Times New Roman"/>
                <w:sz w:val="20"/>
                <w:szCs w:val="20"/>
              </w:rPr>
              <w:t xml:space="preserve">Austrumu pierobežā (Latgales plānošanas reģionam, orientējoši):  </w:t>
            </w:r>
          </w:p>
          <w:p w14:paraId="46150375">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233 271 </w:t>
            </w:r>
            <w:r>
              <w:rPr>
                <w:rFonts w:ascii="Times New Roman" w:hAnsi="Times New Roman" w:cs="Times New Roman"/>
                <w:i/>
                <w:iCs/>
                <w:sz w:val="20"/>
                <w:szCs w:val="20"/>
              </w:rPr>
              <w:t>euro</w:t>
            </w:r>
          </w:p>
          <w:p w14:paraId="2F3289D4">
            <w:pPr>
              <w:spacing w:after="120" w:line="240" w:lineRule="auto"/>
              <w:rPr>
                <w:rFonts w:ascii="Times New Roman" w:hAnsi="Times New Roman" w:cs="Times New Roman"/>
                <w:i/>
                <w:sz w:val="20"/>
                <w:szCs w:val="20"/>
              </w:rPr>
            </w:pPr>
            <w:r>
              <w:rPr>
                <w:rFonts w:ascii="Times New Roman" w:hAnsi="Times New Roman" w:cs="Times New Roman"/>
                <w:i/>
                <w:sz w:val="20"/>
                <w:szCs w:val="20"/>
              </w:rPr>
              <w:t>(Valsts budžets, līdz 2026.gadam)</w:t>
            </w:r>
          </w:p>
          <w:p w14:paraId="1A444BDF">
            <w:pPr>
              <w:spacing w:after="120" w:line="240" w:lineRule="auto"/>
              <w:rPr>
                <w:rFonts w:ascii="Times New Roman" w:hAnsi="Times New Roman" w:cs="Times New Roman"/>
                <w:i/>
                <w:sz w:val="20"/>
                <w:szCs w:val="20"/>
              </w:rPr>
            </w:pPr>
          </w:p>
          <w:p w14:paraId="1F4413E3">
            <w:pPr>
              <w:spacing w:after="120" w:line="240" w:lineRule="auto"/>
              <w:rPr>
                <w:rFonts w:ascii="Times New Roman" w:hAnsi="Times New Roman" w:cs="Times New Roman"/>
                <w:sz w:val="20"/>
                <w:szCs w:val="20"/>
              </w:rPr>
            </w:pPr>
          </w:p>
        </w:tc>
      </w:tr>
      <w:tr w14:paraId="1801922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7B97BDC3">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757E4AB">
            <w:pPr>
              <w:spacing w:line="240" w:lineRule="auto"/>
              <w:jc w:val="both"/>
              <w:rPr>
                <w:rFonts w:ascii="Times New Roman" w:hAnsi="Times New Roman" w:cs="Times New Roman"/>
                <w:bCs/>
                <w:sz w:val="20"/>
                <w:szCs w:val="20"/>
              </w:rPr>
            </w:pPr>
            <w:r>
              <w:rPr>
                <w:rFonts w:ascii="Times New Roman" w:hAnsi="Times New Roman" w:cs="Times New Roman"/>
                <w:sz w:val="20"/>
                <w:szCs w:val="20"/>
              </w:rPr>
              <w:t xml:space="preserve">Atbalsts Latgales SEZ kapacitātei </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52C695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Stiprināta Latgales SEZ kapacitāte, t.sk. kvalitatīvu</w:t>
            </w:r>
          </w:p>
          <w:p w14:paraId="2753DC3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investīciju piedāvājumu sagatavošanai un tālākai</w:t>
            </w:r>
          </w:p>
          <w:p w14:paraId="57332F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ārvalstu investīciju projektu apkalpošanai, izmantojot visas Latgales SEZ kā instrumenta</w:t>
            </w:r>
          </w:p>
          <w:p w14:paraId="51EC2D4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piedāvātās priekšrocības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7E9FE4E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tiek īstenots tikai Austrumu pierobežā, rezultāti:</w:t>
            </w:r>
          </w:p>
          <w:p w14:paraId="7264EEB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Noslēgti līgumi ar Latgales SEZ kapitālsabiedrībām (skaits), gadā – 16*</w:t>
            </w:r>
          </w:p>
          <w:p w14:paraId="25272FDC">
            <w:pPr>
              <w:spacing w:after="0" w:line="240" w:lineRule="auto"/>
              <w:jc w:val="both"/>
              <w:rPr>
                <w:rFonts w:ascii="Times New Roman" w:hAnsi="Times New Roman" w:cs="Times New Roman"/>
                <w:sz w:val="20"/>
                <w:szCs w:val="20"/>
              </w:rPr>
            </w:pPr>
          </w:p>
          <w:p w14:paraId="6C92606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Jaunizveidotās darba vietas (skaits), gadā – 70**</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468A08B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VARAM </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87C591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Latgales plānošanas reģions</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5720186">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Ikgadēji</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137FD3C">
            <w:pPr>
              <w:spacing w:after="120" w:line="240" w:lineRule="auto"/>
              <w:rPr>
                <w:rFonts w:ascii="Times New Roman" w:hAnsi="Times New Roman" w:cs="Times New Roman"/>
                <w:sz w:val="20"/>
                <w:szCs w:val="20"/>
              </w:rPr>
            </w:pPr>
            <w:r>
              <w:rPr>
                <w:rFonts w:ascii="Times New Roman" w:hAnsi="Times New Roman" w:cs="Times New Roman"/>
                <w:sz w:val="20"/>
                <w:szCs w:val="20"/>
              </w:rPr>
              <w:t>Pasākuma, kas tiek īstenots tikai Austrumu pierobežā, finansējums:</w:t>
            </w:r>
          </w:p>
          <w:p w14:paraId="302DBB22">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400 000 </w:t>
            </w:r>
            <w:r>
              <w:rPr>
                <w:rFonts w:ascii="Times New Roman" w:hAnsi="Times New Roman" w:cs="Times New Roman"/>
                <w:i/>
                <w:iCs/>
                <w:sz w:val="20"/>
                <w:szCs w:val="20"/>
              </w:rPr>
              <w:t>euro</w:t>
            </w:r>
            <w:r>
              <w:rPr>
                <w:rFonts w:ascii="Times New Roman" w:hAnsi="Times New Roman" w:cs="Times New Roman"/>
                <w:sz w:val="20"/>
                <w:szCs w:val="20"/>
              </w:rPr>
              <w:t xml:space="preserve"> gadā jeb plāna īstenošanas periodā 1 200 000 </w:t>
            </w:r>
            <w:r>
              <w:rPr>
                <w:rFonts w:ascii="Times New Roman" w:hAnsi="Times New Roman" w:cs="Times New Roman"/>
                <w:i/>
                <w:iCs/>
                <w:sz w:val="20"/>
                <w:szCs w:val="20"/>
              </w:rPr>
              <w:t>euro</w:t>
            </w:r>
          </w:p>
          <w:p w14:paraId="51B1406E">
            <w:pPr>
              <w:spacing w:after="120" w:line="240" w:lineRule="auto"/>
              <w:rPr>
                <w:rFonts w:ascii="Times New Roman" w:hAnsi="Times New Roman" w:cs="Times New Roman"/>
                <w:sz w:val="20"/>
                <w:szCs w:val="20"/>
              </w:rPr>
            </w:pPr>
            <w:r>
              <w:rPr>
                <w:rFonts w:ascii="Times New Roman" w:hAnsi="Times New Roman" w:cs="Times New Roman"/>
                <w:i/>
                <w:iCs/>
                <w:sz w:val="20"/>
                <w:szCs w:val="20"/>
              </w:rPr>
              <w:t>(Valsts budžets)</w:t>
            </w:r>
          </w:p>
        </w:tc>
      </w:tr>
      <w:tr w14:paraId="65EE57C7">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76CE12D1">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7A99E2D">
            <w:pPr>
              <w:spacing w:line="240" w:lineRule="auto"/>
              <w:jc w:val="both"/>
              <w:rPr>
                <w:rStyle w:val="60"/>
                <w:rFonts w:ascii="Times New Roman" w:hAnsi="Times New Roman" w:cs="Times New Roman"/>
                <w:sz w:val="20"/>
                <w:szCs w:val="20"/>
              </w:rPr>
            </w:pPr>
            <w:r>
              <w:rPr>
                <w:rStyle w:val="60"/>
                <w:rFonts w:ascii="Times New Roman" w:hAnsi="Times New Roman" w:cs="Times New Roman"/>
                <w:sz w:val="20"/>
                <w:szCs w:val="20"/>
              </w:rPr>
              <w:t>5.1.1.4. pasākums “Viedās pašvaldības”</w:t>
            </w:r>
          </w:p>
          <w:p w14:paraId="5AB4DDC6">
            <w:pPr>
              <w:spacing w:line="240" w:lineRule="auto"/>
              <w:jc w:val="both"/>
              <w:rPr>
                <w:rFonts w:ascii="Times New Roman" w:hAnsi="Times New Roman" w:cs="Times New Roman"/>
                <w:bCs/>
                <w:sz w:val="20"/>
                <w:szCs w:val="20"/>
              </w:rPr>
            </w:pP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67ACECE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Nacionālais iznākuma rādītājs – attīstīti vismaz pieci viedi (t.sk. Latgales plānošanas reģionā - 1) risinājumi pašvaldību autonomo funkciju īstenošanā un pašvaldību pakalpojumu nodrošināšanā</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6F99F20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782DB62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Attīstīti vismaz pieci viedi risinājumi pašvaldību autonomo funkciju īstenošanā un pašvaldību pakalpojumu nodrošināšanā*</w:t>
            </w:r>
          </w:p>
          <w:p w14:paraId="0CB0CFC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Vismaz piecās pašvaldībās par vismaz 10 procentiem samazinātas pakalpojuma izmaksas uz vienu klientu (</w:t>
            </w:r>
            <w:r>
              <w:rPr>
                <w:rFonts w:ascii="Times New Roman" w:hAnsi="Times New Roman" w:cs="Times New Roman"/>
                <w:i/>
                <w:iCs/>
                <w:sz w:val="20"/>
                <w:szCs w:val="20"/>
              </w:rPr>
              <w:t>euro</w:t>
            </w:r>
            <w:r>
              <w:rPr>
                <w:rFonts w:ascii="Times New Roman" w:hAnsi="Times New Roman" w:cs="Times New Roman"/>
                <w:sz w:val="20"/>
                <w:szCs w:val="20"/>
              </w:rPr>
              <w:t>) vai enerģijas patēriņš (megavatstundās), vai laika patēriņš (stundās)**</w:t>
            </w:r>
          </w:p>
          <w:p w14:paraId="0180B98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Rezultāti Austrumu pierobežā/Latgales plānošanas reģionā: </w:t>
            </w:r>
          </w:p>
          <w:p w14:paraId="615329B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Attīstīts vismaz viens vieds risinājums pašvaldību autonomo funkciju īstenošanā un pašvaldību pakalpojumu nodrošināšanā*</w:t>
            </w:r>
          </w:p>
          <w:p w14:paraId="350D251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 radīta vieda ēkas siltumapgādes un siltumenerģijas patēriņa vadības sistēma**</w:t>
            </w:r>
          </w:p>
          <w:p w14:paraId="6BCFAB3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ietaupīti vismaz 10% enerģijas patēriņa pašvaldību ēkās**</w:t>
            </w:r>
          </w:p>
          <w:p w14:paraId="28B8B42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Ieviesta vienota drošības pārvaldības sistēma 2 pašvaldības vidusskolās**</w:t>
            </w:r>
          </w:p>
          <w:p w14:paraId="7008B93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par vismaz 10% samazināts pašvaldības policijas sniegto pakalpojumu sniegšanai nepieciešamais laiks**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19B79E99">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44C1F09">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CFLA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74F72BC">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Līdz 2029.</w:t>
            </w:r>
            <w:r>
              <w:rPr>
                <w:rStyle w:val="60"/>
                <w:rFonts w:ascii="Times New Roman" w:hAnsi="Times New Roman" w:cs="Times New Roman"/>
                <w:sz w:val="20"/>
                <w:szCs w:val="20"/>
              </w:rPr>
              <w:t> </w:t>
            </w:r>
            <w:r>
              <w:rPr>
                <w:rFonts w:ascii="Times New Roman" w:hAnsi="Times New Roman" w:cs="Times New Roman"/>
                <w:sz w:val="20"/>
                <w:szCs w:val="20"/>
              </w:rPr>
              <w:t>gada 31.</w:t>
            </w:r>
            <w:r>
              <w:rPr>
                <w:rStyle w:val="60"/>
                <w:rFonts w:ascii="Times New Roman" w:hAnsi="Times New Roman" w:cs="Times New Roman"/>
                <w:sz w:val="20"/>
                <w:szCs w:val="20"/>
              </w:rPr>
              <w:t> </w:t>
            </w:r>
            <w:r>
              <w:rPr>
                <w:rFonts w:ascii="Times New Roman" w:hAnsi="Times New Roman" w:cs="Times New Roman"/>
                <w:sz w:val="20"/>
                <w:szCs w:val="20"/>
              </w:rPr>
              <w:t>decembrim – projektu īstenošanas pabeigšana</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AECB651">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Kopējais finansējums visā Latvijā: </w:t>
            </w:r>
          </w:p>
          <w:p w14:paraId="2DA0824B">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15 529 500 </w:t>
            </w:r>
            <w:r>
              <w:rPr>
                <w:rFonts w:ascii="Times New Roman" w:hAnsi="Times New Roman" w:cs="Times New Roman"/>
                <w:i/>
                <w:iCs/>
                <w:sz w:val="20"/>
                <w:szCs w:val="20"/>
              </w:rPr>
              <w:t>euro</w:t>
            </w:r>
          </w:p>
          <w:p w14:paraId="1D55F4E5">
            <w:pPr>
              <w:spacing w:after="120" w:line="240" w:lineRule="auto"/>
              <w:rPr>
                <w:rFonts w:ascii="Times New Roman" w:hAnsi="Times New Roman" w:cs="Times New Roman"/>
                <w:sz w:val="20"/>
                <w:szCs w:val="20"/>
              </w:rPr>
            </w:pPr>
            <w:r>
              <w:rPr>
                <w:rFonts w:ascii="Times New Roman" w:hAnsi="Times New Roman" w:cs="Times New Roman"/>
                <w:sz w:val="20"/>
                <w:szCs w:val="20"/>
              </w:rPr>
              <w:t>Latgales plānošanas reģionā:</w:t>
            </w:r>
          </w:p>
          <w:p w14:paraId="40EB7A4A">
            <w:pPr>
              <w:spacing w:after="120" w:line="240" w:lineRule="auto"/>
              <w:rPr>
                <w:rFonts w:ascii="Times New Roman" w:hAnsi="Times New Roman" w:cs="Times New Roman"/>
                <w:sz w:val="20"/>
                <w:szCs w:val="20"/>
              </w:rPr>
            </w:pPr>
            <w:r>
              <w:rPr>
                <w:rFonts w:ascii="Times New Roman" w:hAnsi="Times New Roman" w:cs="Times New Roman"/>
                <w:sz w:val="20"/>
                <w:szCs w:val="20"/>
                <w:lang w:val="de-DE"/>
              </w:rPr>
              <w:t>3</w:t>
            </w:r>
            <w:r>
              <w:rPr>
                <w:rStyle w:val="60"/>
                <w:rFonts w:ascii="Times New Roman" w:hAnsi="Times New Roman" w:cs="Times New Roman"/>
                <w:sz w:val="20"/>
                <w:szCs w:val="20"/>
              </w:rPr>
              <w:t> </w:t>
            </w:r>
            <w:r>
              <w:rPr>
                <w:rFonts w:ascii="Times New Roman" w:hAnsi="Times New Roman" w:cs="Times New Roman"/>
                <w:sz w:val="20"/>
                <w:szCs w:val="20"/>
                <w:lang w:val="de-DE"/>
              </w:rPr>
              <w:t>105</w:t>
            </w:r>
            <w:r>
              <w:rPr>
                <w:rStyle w:val="60"/>
                <w:rFonts w:ascii="Times New Roman" w:hAnsi="Times New Roman" w:cs="Times New Roman"/>
                <w:sz w:val="20"/>
                <w:szCs w:val="20"/>
              </w:rPr>
              <w:t> </w:t>
            </w:r>
            <w:r>
              <w:rPr>
                <w:rFonts w:ascii="Times New Roman" w:hAnsi="Times New Roman" w:cs="Times New Roman"/>
                <w:sz w:val="20"/>
                <w:szCs w:val="20"/>
                <w:lang w:val="de-DE"/>
              </w:rPr>
              <w:t xml:space="preserve">900 </w:t>
            </w:r>
            <w:r>
              <w:rPr>
                <w:rFonts w:ascii="Times New Roman" w:hAnsi="Times New Roman" w:cs="Times New Roman"/>
                <w:i/>
                <w:iCs/>
                <w:sz w:val="20"/>
                <w:szCs w:val="20"/>
                <w:lang w:val="de-DE"/>
              </w:rPr>
              <w:t>euro</w:t>
            </w:r>
          </w:p>
          <w:p w14:paraId="6DF187A9">
            <w:pPr>
              <w:spacing w:after="120" w:line="240" w:lineRule="auto"/>
              <w:rPr>
                <w:rFonts w:ascii="Times New Roman" w:hAnsi="Times New Roman" w:cs="Times New Roman"/>
                <w:i/>
                <w:sz w:val="20"/>
                <w:szCs w:val="20"/>
              </w:rPr>
            </w:pPr>
            <w:r>
              <w:rPr>
                <w:rFonts w:ascii="Times New Roman" w:hAnsi="Times New Roman" w:cs="Times New Roman"/>
                <w:i/>
                <w:iCs/>
                <w:sz w:val="20"/>
                <w:szCs w:val="20"/>
              </w:rPr>
              <w:t xml:space="preserve">(ES fondi: </w:t>
            </w:r>
            <w:r>
              <w:rPr>
                <w:rFonts w:ascii="Times New Roman" w:hAnsi="Times New Roman" w:eastAsia="Times New Roman" w:cs="Times New Roman"/>
                <w:i/>
                <w:iCs/>
                <w:sz w:val="20"/>
                <w:szCs w:val="20"/>
              </w:rPr>
              <w:t>Eiropas Savienības kohēzijas politikas programma 2021.–2027. gadam</w:t>
            </w:r>
            <w:r>
              <w:rPr>
                <w:rFonts w:ascii="Times New Roman" w:hAnsi="Times New Roman" w:cs="Times New Roman"/>
                <w:i/>
                <w:iCs/>
                <w:sz w:val="20"/>
                <w:szCs w:val="20"/>
              </w:rPr>
              <w:t>)</w:t>
            </w:r>
          </w:p>
        </w:tc>
      </w:tr>
      <w:tr w14:paraId="7795F7F5">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5F6A8518">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480DBFD">
            <w:pPr>
              <w:spacing w:line="240" w:lineRule="auto"/>
              <w:jc w:val="both"/>
              <w:rPr>
                <w:rFonts w:ascii="Times New Roman" w:hAnsi="Times New Roman" w:cs="Times New Roman"/>
                <w:bCs/>
                <w:sz w:val="20"/>
                <w:szCs w:val="20"/>
              </w:rPr>
            </w:pPr>
            <w:r>
              <w:rPr>
                <w:rFonts w:ascii="Times New Roman" w:hAnsi="Times New Roman" w:cs="Times New Roman"/>
                <w:sz w:val="20"/>
                <w:szCs w:val="20"/>
              </w:rPr>
              <w:t>3.1.1.6.i. investīcija “Pašvaldību funkciju īstenošanai un pakalpojumu sniegšanai nepieciešamo bezemisiju transportlīdzekļu iegāde”</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40DBD7CE">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Sniegts atbalsts jaunu M2 vai M3 kategorijas mehānisko transportlīdzekļu iegādei, kuri darbojas ar elektroenerģiju (bezemisiju transportlīdzeklis), kā arī nepieciešamās uzlādes punkta infrastruktūras izveidei.</w:t>
            </w:r>
          </w:p>
          <w:p w14:paraId="2E842C76">
            <w:pPr>
              <w:spacing w:after="120" w:line="240" w:lineRule="auto"/>
              <w:jc w:val="both"/>
              <w:rPr>
                <w:rFonts w:ascii="Times New Roman" w:hAnsi="Times New Roman" w:cs="Times New Roman"/>
                <w:sz w:val="20"/>
                <w:szCs w:val="20"/>
              </w:rPr>
            </w:pP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6D7F227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177F0A4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Noslēgti civiltiesiskie līgumi vai vienošanās par projektu īstenošanas tiesību piešķiršanu bezemisiju transportlīdzekļu iegādei vietējo pašvaldību funkciju veikšanai un pārvaldes uzdevumu izpildei par kopējo vērtību 8 799 261 </w:t>
            </w:r>
            <w:r>
              <w:rPr>
                <w:rFonts w:ascii="Times New Roman" w:hAnsi="Times New Roman" w:cs="Times New Roman"/>
                <w:i/>
                <w:iCs/>
                <w:sz w:val="20"/>
                <w:szCs w:val="20"/>
              </w:rPr>
              <w:t>euro</w:t>
            </w:r>
            <w:r>
              <w:rPr>
                <w:rFonts w:ascii="Times New Roman" w:hAnsi="Times New Roman" w:cs="Times New Roman"/>
                <w:sz w:val="20"/>
                <w:szCs w:val="20"/>
              </w:rPr>
              <w:t>*</w:t>
            </w:r>
          </w:p>
          <w:p w14:paraId="78198CD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Iegādāts 21 elektriskais bezemisiju transportlīdzeklis**</w:t>
            </w:r>
          </w:p>
          <w:p w14:paraId="5865024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637719C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Noslēgti civiltiesiskie līgumi vai vienošanās par projektu īstenošanas tiesību piešķiršanu bezemisiju transportlīdzekļu iegādei vietējo pašvaldību funkciju veikšanai un pārvaldes uzdevumu izpildei par kopējo vērtību 2 747 068 </w:t>
            </w:r>
            <w:r>
              <w:rPr>
                <w:rFonts w:ascii="Times New Roman" w:hAnsi="Times New Roman" w:cs="Times New Roman"/>
                <w:i/>
                <w:iCs/>
                <w:sz w:val="20"/>
                <w:szCs w:val="20"/>
              </w:rPr>
              <w:t>euro</w:t>
            </w:r>
            <w:r>
              <w:rPr>
                <w:rFonts w:ascii="Times New Roman" w:hAnsi="Times New Roman" w:cs="Times New Roman"/>
                <w:sz w:val="20"/>
                <w:szCs w:val="20"/>
              </w:rPr>
              <w:t>*</w:t>
            </w:r>
          </w:p>
          <w:p w14:paraId="1FAA838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Iegādāti 7 elektriskie bezemisiju transportlīdzekļi**</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6B83E77E">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E54C1BD">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CFLA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49937F7">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2026.gads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C79CC7F">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4C7A2E93">
            <w:pPr>
              <w:spacing w:after="120" w:line="240" w:lineRule="auto"/>
              <w:rPr>
                <w:rFonts w:ascii="Times New Roman" w:hAnsi="Times New Roman" w:eastAsia="Times New Roman" w:cs="Times New Roman"/>
                <w:i/>
                <w:iCs/>
                <w:sz w:val="20"/>
                <w:szCs w:val="20"/>
              </w:rPr>
            </w:pPr>
            <w:r>
              <w:rPr>
                <w:rFonts w:ascii="Times New Roman" w:hAnsi="Times New Roman" w:eastAsia="Times New Roman" w:cs="Times New Roman"/>
                <w:sz w:val="20"/>
                <w:szCs w:val="20"/>
              </w:rPr>
              <w:t xml:space="preserve">8 799 261 </w:t>
            </w:r>
            <w:r>
              <w:rPr>
                <w:rFonts w:ascii="Times New Roman" w:hAnsi="Times New Roman" w:eastAsia="Times New Roman" w:cs="Times New Roman"/>
                <w:i/>
                <w:iCs/>
                <w:sz w:val="20"/>
                <w:szCs w:val="20"/>
              </w:rPr>
              <w:t>euro</w:t>
            </w:r>
          </w:p>
          <w:p w14:paraId="38845ABF">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Austrumu pierobežā:</w:t>
            </w:r>
          </w:p>
          <w:p w14:paraId="6E70E6B5">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2 747 068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w:t>
            </w:r>
          </w:p>
          <w:p w14:paraId="1504E370">
            <w:pPr>
              <w:spacing w:after="120" w:line="240" w:lineRule="auto"/>
              <w:rPr>
                <w:rFonts w:ascii="Times New Roman" w:hAnsi="Times New Roman" w:cs="Times New Roman"/>
                <w:sz w:val="20"/>
                <w:szCs w:val="20"/>
              </w:rPr>
            </w:pPr>
            <w:r>
              <w:rPr>
                <w:rFonts w:ascii="Times New Roman" w:hAnsi="Times New Roman" w:cs="Times New Roman"/>
                <w:i/>
                <w:iCs/>
                <w:sz w:val="20"/>
                <w:szCs w:val="20"/>
              </w:rPr>
              <w:t>(ES fondi: Atjaunošanas un noturības mehānisms)</w:t>
            </w:r>
          </w:p>
        </w:tc>
      </w:tr>
      <w:tr w14:paraId="5E2B6F5A">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4EFB6458">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C01B81B">
            <w:pPr>
              <w:jc w:val="both"/>
              <w:rPr>
                <w:rFonts w:ascii="Times New Roman" w:hAnsi="Times New Roman" w:cs="Times New Roman"/>
                <w:sz w:val="20"/>
                <w:szCs w:val="20"/>
              </w:rPr>
            </w:pPr>
            <w:r>
              <w:rPr>
                <w:rFonts w:ascii="Times New Roman" w:hAnsi="Times New Roman" w:cs="Times New Roman"/>
                <w:sz w:val="20"/>
                <w:szCs w:val="20"/>
              </w:rPr>
              <w:t>6.1.1.6.pasākums “Bezemisiju transportlīdzekļu izmantošanas veicināšana pašvaldībās”</w:t>
            </w:r>
          </w:p>
          <w:p w14:paraId="1D45689A">
            <w:pPr>
              <w:spacing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Pasākumā paredzēts piemērot labvēlīgu koeficientu Latgales plānošanas reģionam </w:t>
            </w:r>
            <w:r>
              <w:rPr>
                <w:rFonts w:ascii="Times New Roman" w:hAnsi="Times New Roman" w:cs="Times New Roman"/>
                <w:sz w:val="20"/>
                <w:szCs w:val="20"/>
              </w:rPr>
              <w:t>– Latgales plānošanas reģionam noteikts lielākais finansējuma apjoms starp reģioniem.</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0D2E71E7">
            <w:pPr>
              <w:spacing w:after="120"/>
              <w:jc w:val="both"/>
              <w:rPr>
                <w:rFonts w:ascii="Times New Roman" w:hAnsi="Times New Roman" w:cs="Times New Roman"/>
                <w:sz w:val="20"/>
                <w:szCs w:val="20"/>
              </w:rPr>
            </w:pPr>
            <w:r>
              <w:rPr>
                <w:rFonts w:ascii="Times New Roman" w:hAnsi="Times New Roman" w:cs="Times New Roman"/>
                <w:sz w:val="20"/>
                <w:szCs w:val="20"/>
              </w:rPr>
              <w:t xml:space="preserve">Sniegts atbalsts jaunu M1 (specializēto),  M2 vai M3 kategorijas bezemisiju transportlīdzekļu iegādei, bezemisiju transportlīdzekļu uzlādes infrastruktūras izveidei, komunikācijas un vizuālās identitātes prasību nodrošināšanas pasākumiem par projekta īstenošanu, kā arī projekta vadības nodrošināšanai. </w:t>
            </w:r>
          </w:p>
          <w:p w14:paraId="0ACA8D4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Pirmajā atlases kārtā (uz 2024.gada</w:t>
            </w:r>
            <w:r>
              <w:rPr>
                <w:rFonts w:ascii="Times New Roman" w:hAnsi="Times New Roman" w:cs="Times New Roman"/>
                <w:strike/>
                <w:sz w:val="20"/>
                <w:szCs w:val="20"/>
              </w:rPr>
              <w:t xml:space="preserve"> </w:t>
            </w:r>
            <w:r>
              <w:rPr>
                <w:rFonts w:ascii="Times New Roman" w:hAnsi="Times New Roman" w:cs="Times New Roman"/>
                <w:sz w:val="20"/>
                <w:szCs w:val="20"/>
              </w:rPr>
              <w:t xml:space="preserve">maiju) Austrumu pierobežā pieteikti četri projekti, kas paredz 11 bezemisiju transportlīdzekļu iegādi par kopējo TPF finansējumu 3,3 milj. </w:t>
            </w:r>
            <w:r>
              <w:rPr>
                <w:rFonts w:ascii="Times New Roman" w:hAnsi="Times New Roman" w:cs="Times New Roman"/>
                <w:i/>
                <w:iCs/>
                <w:sz w:val="20"/>
                <w:szCs w:val="20"/>
              </w:rPr>
              <w:t>euro</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69814C92">
            <w:pPr>
              <w:spacing w:after="120"/>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23330BEC">
            <w:pPr>
              <w:spacing w:after="120"/>
              <w:jc w:val="both"/>
              <w:rPr>
                <w:rFonts w:ascii="Times New Roman" w:hAnsi="Times New Roman" w:cs="Times New Roman"/>
                <w:sz w:val="20"/>
                <w:szCs w:val="20"/>
              </w:rPr>
            </w:pPr>
            <w:r>
              <w:rPr>
                <w:rFonts w:ascii="Times New Roman" w:hAnsi="Times New Roman" w:cs="Times New Roman"/>
                <w:sz w:val="20"/>
                <w:szCs w:val="20"/>
              </w:rPr>
              <w:t>Iegādāti vismaz 38 bezemisiju transportlīdzekļi pašvaldību funkciju īstenošanai un pakalpojumu nodrošināšanai*</w:t>
            </w:r>
          </w:p>
          <w:p w14:paraId="2890D345">
            <w:pPr>
              <w:spacing w:after="120"/>
              <w:jc w:val="both"/>
              <w:rPr>
                <w:rFonts w:ascii="Times New Roman" w:hAnsi="Times New Roman" w:cs="Times New Roman"/>
                <w:sz w:val="20"/>
                <w:szCs w:val="20"/>
              </w:rPr>
            </w:pPr>
            <w:r>
              <w:rPr>
                <w:rFonts w:ascii="Times New Roman" w:hAnsi="Times New Roman" w:cs="Times New Roman"/>
                <w:sz w:val="20"/>
                <w:szCs w:val="20"/>
              </w:rPr>
              <w:t>Jaunā vai modernizētā publiskā transporta lietotāji gadā – vismaz 323 000 lietotāji gadā**</w:t>
            </w:r>
          </w:p>
          <w:p w14:paraId="5705C120">
            <w:pPr>
              <w:spacing w:after="120"/>
              <w:jc w:val="both"/>
              <w:rPr>
                <w:rFonts w:ascii="Times New Roman" w:hAnsi="Times New Roman" w:cs="Times New Roman"/>
                <w:sz w:val="20"/>
                <w:szCs w:val="20"/>
              </w:rPr>
            </w:pPr>
            <w:r>
              <w:rPr>
                <w:rFonts w:ascii="Times New Roman" w:hAnsi="Times New Roman" w:cs="Times New Roman"/>
                <w:sz w:val="20"/>
                <w:szCs w:val="20"/>
              </w:rPr>
              <w:t>Rezultāti Austrumu pierobežā/Latgales plānošanas reģionā:</w:t>
            </w:r>
          </w:p>
          <w:p w14:paraId="244B9B45">
            <w:pPr>
              <w:spacing w:after="120"/>
              <w:jc w:val="both"/>
              <w:rPr>
                <w:rFonts w:ascii="Times New Roman" w:hAnsi="Times New Roman" w:cs="Times New Roman"/>
                <w:sz w:val="20"/>
                <w:szCs w:val="20"/>
              </w:rPr>
            </w:pPr>
            <w:r>
              <w:rPr>
                <w:rFonts w:ascii="Times New Roman" w:hAnsi="Times New Roman" w:cs="Times New Roman"/>
                <w:sz w:val="20"/>
                <w:szCs w:val="20"/>
              </w:rPr>
              <w:t>Iegādāts vismaz 11 bezemisiju transportlīdzekļi pašvaldību funkciju īstenošanai un pakalpojumu nodrošināšanai*</w:t>
            </w:r>
          </w:p>
          <w:p w14:paraId="179997A9">
            <w:pPr>
              <w:spacing w:after="120"/>
              <w:jc w:val="both"/>
              <w:rPr>
                <w:rFonts w:ascii="Times New Roman" w:hAnsi="Times New Roman" w:eastAsia="Times New Roman" w:cs="Times New Roman"/>
                <w:sz w:val="20"/>
                <w:szCs w:val="20"/>
              </w:rPr>
            </w:pPr>
            <w:r>
              <w:rPr>
                <w:rFonts w:ascii="Times New Roman" w:hAnsi="Times New Roman" w:cs="Times New Roman"/>
                <w:sz w:val="20"/>
                <w:szCs w:val="20"/>
              </w:rPr>
              <w:t xml:space="preserve">Jaunā vai modernizētā publiskā transporta lietotāji gadā – vismaz </w:t>
            </w:r>
            <w:r>
              <w:rPr>
                <w:rFonts w:ascii="Times New Roman" w:hAnsi="Times New Roman" w:cs="Times New Roman"/>
                <w:color w:val="000000"/>
                <w:sz w:val="20"/>
                <w:szCs w:val="20"/>
              </w:rPr>
              <w:t xml:space="preserve">69 720 </w:t>
            </w:r>
            <w:r>
              <w:rPr>
                <w:rFonts w:ascii="Times New Roman" w:hAnsi="Times New Roman" w:cs="Times New Roman"/>
                <w:sz w:val="20"/>
                <w:szCs w:val="20"/>
              </w:rPr>
              <w:t>lietotāji gadā**</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7A5BE5D7">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28D52D5">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CFLA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2AF743E">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2029.gada 31.decembris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F9C901E">
            <w:pPr>
              <w:spacing w:after="120" w:line="240" w:lineRule="auto"/>
              <w:rPr>
                <w:rFonts w:ascii="Times New Roman" w:hAnsi="Times New Roman" w:cs="Times New Roman"/>
                <w:sz w:val="20"/>
                <w:szCs w:val="20"/>
              </w:rPr>
            </w:pPr>
            <w:r>
              <w:rPr>
                <w:rFonts w:ascii="Times New Roman" w:hAnsi="Times New Roman" w:eastAsia="Times New Roman" w:cs="Times New Roman"/>
                <w:sz w:val="20"/>
                <w:szCs w:val="20"/>
              </w:rPr>
              <w:t>Kopējais finansējums visā Latvijā:</w:t>
            </w:r>
          </w:p>
          <w:p w14:paraId="2DA300C8">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21 179 311 </w:t>
            </w:r>
            <w:r>
              <w:rPr>
                <w:rFonts w:ascii="Times New Roman" w:hAnsi="Times New Roman" w:cs="Times New Roman"/>
                <w:i/>
                <w:iCs/>
                <w:sz w:val="20"/>
                <w:szCs w:val="20"/>
              </w:rPr>
              <w:t>euro</w:t>
            </w:r>
          </w:p>
          <w:p w14:paraId="09BC5C8D">
            <w:pPr>
              <w:spacing w:after="120" w:line="240" w:lineRule="auto"/>
              <w:rPr>
                <w:rFonts w:ascii="Times New Roman" w:hAnsi="Times New Roman" w:cs="Times New Roman"/>
                <w:sz w:val="20"/>
                <w:szCs w:val="20"/>
              </w:rPr>
            </w:pPr>
            <w:r>
              <w:rPr>
                <w:rFonts w:ascii="Times New Roman" w:hAnsi="Times New Roman" w:cs="Times New Roman"/>
                <w:sz w:val="20"/>
                <w:szCs w:val="20"/>
              </w:rPr>
              <w:t>Latgales plānošanas reģionā:</w:t>
            </w:r>
          </w:p>
          <w:p w14:paraId="7DDB5112">
            <w:pPr>
              <w:spacing w:after="120" w:line="240" w:lineRule="auto"/>
              <w:rPr>
                <w:rFonts w:ascii="Times New Roman" w:hAnsi="Times New Roman" w:cs="Times New Roman"/>
                <w:i/>
                <w:iCs/>
                <w:sz w:val="20"/>
                <w:szCs w:val="20"/>
              </w:rPr>
            </w:pPr>
            <w:r>
              <w:rPr>
                <w:rFonts w:ascii="Times New Roman" w:hAnsi="Times New Roman" w:cs="Times New Roman"/>
                <w:sz w:val="20"/>
                <w:szCs w:val="20"/>
              </w:rPr>
              <w:t xml:space="preserve">6 074 955 </w:t>
            </w:r>
            <w:r>
              <w:rPr>
                <w:rFonts w:ascii="Times New Roman" w:hAnsi="Times New Roman" w:cs="Times New Roman"/>
                <w:i/>
                <w:iCs/>
                <w:sz w:val="20"/>
                <w:szCs w:val="20"/>
              </w:rPr>
              <w:t>euro</w:t>
            </w:r>
          </w:p>
          <w:p w14:paraId="500B5792">
            <w:pPr>
              <w:spacing w:after="120" w:line="240" w:lineRule="auto"/>
              <w:rPr>
                <w:rFonts w:ascii="Times New Roman" w:hAnsi="Times New Roman" w:cs="Times New Roman"/>
                <w:sz w:val="20"/>
                <w:szCs w:val="20"/>
              </w:rPr>
            </w:pPr>
            <w:r>
              <w:rPr>
                <w:rFonts w:ascii="Times New Roman" w:hAnsi="Times New Roman" w:cs="Times New Roman"/>
                <w:i/>
                <w:iCs/>
                <w:sz w:val="20"/>
                <w:szCs w:val="20"/>
              </w:rPr>
              <w:t xml:space="preserve">(ES fondi: </w:t>
            </w:r>
            <w:r>
              <w:rPr>
                <w:rFonts w:ascii="Times New Roman" w:hAnsi="Times New Roman" w:eastAsia="Times New Roman" w:cs="Times New Roman"/>
                <w:i/>
                <w:iCs/>
                <w:sz w:val="20"/>
                <w:szCs w:val="20"/>
              </w:rPr>
              <w:t>Eiropas Savienības kohēzijas politikas programma 2021.–2027. gadam</w:t>
            </w:r>
            <w:r>
              <w:rPr>
                <w:rFonts w:ascii="Times New Roman" w:hAnsi="Times New Roman" w:cs="Times New Roman"/>
                <w:i/>
                <w:iCs/>
                <w:sz w:val="20"/>
                <w:szCs w:val="20"/>
              </w:rPr>
              <w:t>)</w:t>
            </w:r>
          </w:p>
        </w:tc>
      </w:tr>
      <w:tr w14:paraId="3E058625">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51FD3E97">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B56F740">
            <w:pPr>
              <w:spacing w:line="240" w:lineRule="auto"/>
              <w:jc w:val="both"/>
              <w:rPr>
                <w:rFonts w:ascii="Times New Roman" w:hAnsi="Times New Roman" w:cs="Times New Roman"/>
                <w:bCs/>
                <w:sz w:val="20"/>
                <w:szCs w:val="20"/>
              </w:rPr>
            </w:pPr>
            <w:r>
              <w:rPr>
                <w:rFonts w:ascii="Times New Roman" w:hAnsi="Times New Roman" w:cs="Times New Roman"/>
                <w:sz w:val="20"/>
                <w:szCs w:val="20"/>
              </w:rPr>
              <w:t>3.1.1.1.i. investīcija “Valsts reģionālo un vietējo autoceļu tīkla uzlabošana”</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7A68DABA">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Atjaunoti vai pārbūvēti valsts reģionālie un vietējie autoceļi novadu administratīvo centru un tajos sniegto pakalpojumu un darbavietu drošai sasniedzamībai un jauno pašvaldību pilnvērtīgai funkcionēšanai.</w:t>
            </w:r>
          </w:p>
          <w:p w14:paraId="52584EA1">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Investīcijas ietvaros Latgales plānošanas reģionā īstenoti vai īstenošanas procesā ir vairāk nekā 97 km valsts vietējo un reģionālo autoceļu.</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6D7D5783">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08AD82CA">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Valsts reģionālo un vietējo autoceļu atjaunošanai vai pārbūvei piesaistītais finansējums: 92 300 000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w:t>
            </w:r>
          </w:p>
          <w:p w14:paraId="06B2E92B">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210 km atjaunotu vai pārbūvētu valsts vietējo un reģionālo ceļu**</w:t>
            </w:r>
          </w:p>
          <w:p w14:paraId="342652A0">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Rezultāti </w:t>
            </w:r>
            <w:r>
              <w:rPr>
                <w:rFonts w:ascii="Times New Roman" w:hAnsi="Times New Roman" w:cs="Times New Roman"/>
                <w:sz w:val="20"/>
                <w:szCs w:val="20"/>
              </w:rPr>
              <w:t>Austrumu pierobežā/Latgales plānošanas reģionā</w:t>
            </w:r>
            <w:r>
              <w:rPr>
                <w:rFonts w:ascii="Times New Roman" w:hAnsi="Times New Roman" w:eastAsia="Times New Roman" w:cs="Times New Roman"/>
                <w:sz w:val="20"/>
                <w:szCs w:val="20"/>
              </w:rPr>
              <w:t>:</w:t>
            </w:r>
          </w:p>
          <w:p w14:paraId="6DE2F6E2">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Valsts reģionālo un vietējo autoceļu atjaunošanai vai pārbūvei piesaistītais finansējums: 7 514 214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w:t>
            </w:r>
          </w:p>
          <w:p w14:paraId="20CD6469">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Austrumu pierobežā atjaunoti vai pārbūvēti valsts vietējie un reģionālie autoceļi, km – 33,81**</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0291D588">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FB97D87">
            <w:pPr>
              <w:spacing w:after="0" w:line="240" w:lineRule="auto"/>
              <w:rPr>
                <w:rFonts w:ascii="Times New Roman" w:hAnsi="Times New Roman" w:cs="Times New Roman"/>
                <w:sz w:val="20"/>
                <w:szCs w:val="20"/>
              </w:rPr>
            </w:pPr>
            <w:r>
              <w:rPr>
                <w:rFonts w:ascii="Times New Roman" w:hAnsi="Times New Roman" w:eastAsia="Times New Roman" w:cs="Times New Roman"/>
                <w:sz w:val="20"/>
                <w:szCs w:val="20"/>
              </w:rPr>
              <w:t>SM, VSIA “Latvijas Valsts ceļi”</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A116395">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2025.gads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7A5A9B0">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607F0DC9">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92 300 000 </w:t>
            </w:r>
            <w:r>
              <w:rPr>
                <w:rFonts w:ascii="Times New Roman" w:hAnsi="Times New Roman" w:eastAsia="Times New Roman" w:cs="Times New Roman"/>
                <w:i/>
                <w:iCs/>
                <w:sz w:val="20"/>
                <w:szCs w:val="20"/>
              </w:rPr>
              <w:t>euro</w:t>
            </w:r>
          </w:p>
          <w:p w14:paraId="2C781501">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Latgales plānošanas reģionā:</w:t>
            </w:r>
          </w:p>
          <w:p w14:paraId="7A857CB2">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7 514 214 </w:t>
            </w:r>
            <w:r>
              <w:rPr>
                <w:rFonts w:ascii="Times New Roman" w:hAnsi="Times New Roman" w:eastAsia="Times New Roman" w:cs="Times New Roman"/>
                <w:i/>
                <w:iCs/>
                <w:sz w:val="20"/>
                <w:szCs w:val="20"/>
              </w:rPr>
              <w:t>euro</w:t>
            </w:r>
          </w:p>
          <w:p w14:paraId="08263D2C">
            <w:pPr>
              <w:spacing w:after="120" w:line="240" w:lineRule="auto"/>
              <w:rPr>
                <w:rFonts w:ascii="Times New Roman" w:hAnsi="Times New Roman" w:cs="Times New Roman"/>
                <w:sz w:val="20"/>
                <w:szCs w:val="20"/>
              </w:rPr>
            </w:pPr>
            <w:r>
              <w:rPr>
                <w:rFonts w:ascii="Times New Roman" w:hAnsi="Times New Roman" w:cs="Times New Roman"/>
                <w:i/>
                <w:iCs/>
                <w:sz w:val="20"/>
                <w:szCs w:val="20"/>
              </w:rPr>
              <w:t>(ES fondi: Atjaunošanas un noturības mehānisms)</w:t>
            </w:r>
          </w:p>
        </w:tc>
      </w:tr>
      <w:tr w14:paraId="0209F1F5">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21E19F45">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7A7E01F">
            <w:pPr>
              <w:spacing w:line="240" w:lineRule="auto"/>
              <w:jc w:val="both"/>
              <w:rPr>
                <w:rFonts w:ascii="Times New Roman" w:hAnsi="Times New Roman" w:cs="Times New Roman"/>
                <w:bCs/>
                <w:sz w:val="20"/>
                <w:szCs w:val="20"/>
              </w:rPr>
            </w:pPr>
            <w:r>
              <w:rPr>
                <w:rFonts w:ascii="Times New Roman" w:hAnsi="Times New Roman" w:cs="Times New Roman"/>
                <w:sz w:val="20"/>
                <w:szCs w:val="20"/>
              </w:rPr>
              <w:t>1.2.1.3.i. investīcija “Pašvaldību ēku un infrastruktūras uzlabošana, veicinot pāreju uz atjaunojamo energoresursu tehnoloģiju izmantošanu un uzlabojot energoefektivitāti”</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4100D50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Sniegts atbalsts ēkas energosertifikātā paredzētām darbībām:</w:t>
            </w:r>
          </w:p>
          <w:p w14:paraId="57F954F1">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esošu ēku pārbūvei vai atjaunošanai, kas nodrošina ēkas energoefektivitātes paaugstināšanu;</w:t>
            </w:r>
          </w:p>
          <w:p w14:paraId="133C94DE">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ēkai nepieciešamās siltumapgādes infrastruktūras pārbūvei vai atjaunošanai;</w:t>
            </w:r>
          </w:p>
          <w:p w14:paraId="1627D108">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apgaismojuma, dzesēšanas un ventilācijas sistēmu izveidei, pārbūvei vai atjaunošanai;</w:t>
            </w:r>
          </w:p>
          <w:p w14:paraId="108AE538">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atjaunojamos energoresursus izmantojošu enerģiju ražojošu, tai skaitā bezizmešu, iekārtu iegādei un uzstādīšanai;</w:t>
            </w:r>
          </w:p>
          <w:p w14:paraId="2E4DFF19">
            <w:pPr>
              <w:pStyle w:val="52"/>
              <w:numPr>
                <w:ilvl w:val="0"/>
                <w:numId w:val="19"/>
              </w:numPr>
              <w:spacing w:after="0" w:line="240" w:lineRule="auto"/>
              <w:ind w:left="167" w:hanging="167"/>
              <w:jc w:val="both"/>
              <w:rPr>
                <w:rFonts w:ascii="Times New Roman" w:hAnsi="Times New Roman" w:cs="Times New Roman"/>
                <w:sz w:val="20"/>
                <w:szCs w:val="20"/>
              </w:rPr>
            </w:pPr>
            <w:r>
              <w:rPr>
                <w:rFonts w:ascii="Times New Roman" w:hAnsi="Times New Roman" w:eastAsia="Times New Roman" w:cs="Times New Roman"/>
                <w:sz w:val="20"/>
                <w:szCs w:val="20"/>
              </w:rPr>
              <w:t>pieslēgšanos centralizētajai siltumapgādes sistēmai.</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2F6DE5F">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00C07CC7">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Piešķirtas līgumu slēgšanas tiesības vismaz 27 838 800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apmērā*</w:t>
            </w:r>
          </w:p>
          <w:p w14:paraId="195CAA7A">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Primārās enerģijas patēriņš pašvaldību ēkās un infrastruktūrā samazināts vismaz par 4 544 563 kWh/gadā**</w:t>
            </w:r>
          </w:p>
          <w:p w14:paraId="1044DB61">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Austrumu pierobežā:</w:t>
            </w:r>
          </w:p>
          <w:p w14:paraId="28A59C59">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Piešķirtas līgumu slēgšanas tiesības vismaz 4 481 638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apmērā*</w:t>
            </w:r>
          </w:p>
          <w:p w14:paraId="014022E6">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Primārās enerģijas patēriņš pašvaldību ēkās un infrastruktūrā samazināts vismaz par 1 218 856 kWh/gadā**</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1487899B">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EB6ADB1">
            <w:pPr>
              <w:spacing w:after="120" w:line="240" w:lineRule="auto"/>
              <w:jc w:val="center"/>
              <w:rPr>
                <w:rFonts w:ascii="Times New Roman" w:hAnsi="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1322EFD">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2026.gads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613620B">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3B3F0EC1">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29 304 000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w:t>
            </w:r>
          </w:p>
          <w:p w14:paraId="526BE166">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Austrumu pierobežas pašvaldībās:</w:t>
            </w:r>
          </w:p>
          <w:p w14:paraId="103A1C10">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4 481 638 </w:t>
            </w:r>
            <w:r>
              <w:rPr>
                <w:rFonts w:ascii="Times New Roman" w:hAnsi="Times New Roman" w:eastAsia="Times New Roman" w:cs="Times New Roman"/>
                <w:i/>
                <w:iCs/>
                <w:sz w:val="20"/>
                <w:szCs w:val="20"/>
              </w:rPr>
              <w:t>euro</w:t>
            </w:r>
          </w:p>
          <w:p w14:paraId="6D416D45">
            <w:pPr>
              <w:spacing w:after="120" w:line="240" w:lineRule="auto"/>
              <w:rPr>
                <w:rFonts w:ascii="Times New Roman" w:hAnsi="Times New Roman" w:cs="Times New Roman"/>
                <w:sz w:val="20"/>
                <w:szCs w:val="20"/>
              </w:rPr>
            </w:pPr>
            <w:r>
              <w:rPr>
                <w:rFonts w:ascii="Times New Roman" w:hAnsi="Times New Roman" w:cs="Times New Roman"/>
                <w:i/>
                <w:iCs/>
                <w:sz w:val="20"/>
                <w:szCs w:val="20"/>
              </w:rPr>
              <w:t>(ES fondi: Atjaunošanas un noturības mehānisms)</w:t>
            </w:r>
          </w:p>
        </w:tc>
      </w:tr>
      <w:tr w14:paraId="20CFF061">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207E9014">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CAA51A1">
            <w:pPr>
              <w:spacing w:line="240" w:lineRule="auto"/>
              <w:jc w:val="both"/>
              <w:rPr>
                <w:rFonts w:ascii="Times New Roman" w:hAnsi="Times New Roman" w:cs="Times New Roman"/>
                <w:sz w:val="20"/>
                <w:szCs w:val="20"/>
              </w:rPr>
            </w:pPr>
            <w:r>
              <w:rPr>
                <w:rFonts w:ascii="Times New Roman" w:hAnsi="Times New Roman" w:cs="Times New Roman"/>
                <w:sz w:val="20"/>
                <w:szCs w:val="20"/>
              </w:rPr>
              <w:t>6.1.1.3. pasākums “Uzņēmējdarbības publiskās infrastruktūras attīstība pārejā uz klimatneitralitāti”</w:t>
            </w:r>
          </w:p>
          <w:p w14:paraId="326A1147">
            <w:pPr>
              <w:spacing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Pasākumā paredzēts piemērot labvēlīgu koeficientu Latgales plānošanas reģionam </w:t>
            </w:r>
            <w:r>
              <w:rPr>
                <w:rFonts w:ascii="Times New Roman" w:hAnsi="Times New Roman" w:cs="Times New Roman"/>
                <w:sz w:val="20"/>
                <w:szCs w:val="20"/>
              </w:rPr>
              <w:t xml:space="preserve">– Latgales plānošanas reģionam noteikts lielākais finansējuma apjoms starp reģioniem. </w:t>
            </w:r>
            <w:r>
              <w:rPr>
                <w:rFonts w:ascii="Times New Roman" w:hAnsi="Times New Roman" w:cs="Times New Roman"/>
                <w:bCs/>
                <w:sz w:val="20"/>
                <w:szCs w:val="20"/>
              </w:rPr>
              <w:t>Finansējums katram plānošanas reģionam tiek noteikts pēc IKP uz vienu iedzīvotāju apgrieztās proporcijas, lielāku finansējumu paredzot reģioniem, kuros uz vienu iedzīvotāju ir zemāks IKP.</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3C121BED">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Atbalstāmās darbības uzņēmējdarbības teritorijās infrastruktūras attīstībai un piekļūstamībai, kas veicina pāreju uz klimatneitrālu ekonomiku, tai skaitā atbalstāmi pasākumi, kas samazina siltumnīcefekta gāzu emisijas vai veicina oglekļa dioksīda piesaisti, saskaņā ar pašvaldības attīstības programmu:</w:t>
            </w:r>
          </w:p>
          <w:p w14:paraId="1DC62BF7">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industriālo pieslēgumu ierīkošana un to saistītās jaudas palielināšana (tai skaitā siltumapgāde, dzeramā ūdens apgāde un kanalizācija, elektroenerģija);</w:t>
            </w:r>
          </w:p>
          <w:p w14:paraId="5691668A">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ceļu satiksmei paredzētās infrastruktūras attīstīšana un ar to saistītie pasākumi;</w:t>
            </w:r>
          </w:p>
          <w:p w14:paraId="2317A4BC">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uzņēmējdarbības mērķiem paredzēto ēku un to saistītās infrastruktūras attīstīšana, izņemot ēkas, kurās paredzēta izmitināšana (NACE I sadaļa 55. nodaļa), fiziskās labsajūtas uzlabošana (NACE S sadaļa 96.04. klase), sporta nodarbības, izklaides un atpūtas darbība (NACE R sadaļa 93. nodaļa) un izglītības pakalpojumi (NACE P sadaļa);</w:t>
            </w:r>
          </w:p>
          <w:p w14:paraId="5D1789A6">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teritorijas labiekārtošana un ar to saistītie pasākumi;</w:t>
            </w:r>
          </w:p>
          <w:p w14:paraId="6B089ED6">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inženiertehniskās sistēmas un iekārtas, kas uzkrāj vai ražo enerģiju no atjaunojamajiem energoresursiem, tai skaitā šādu sistēmu un iekārtu funkcionalitātei nepieciešamās inženierbūves, kas ir iepriekš minēto sistēmu un iekārtu sastāvdaļa;</w:t>
            </w:r>
          </w:p>
          <w:p w14:paraId="44C26969">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videi nodarītā kaitējuma remediācija vai degradētu ekosistēmu sanācija, lai atjaunotu un uzlabotu vides kvalitāti piesārņotajās vietās un ap tām, novērstu apdraudējumu iedzīvotāju veselībai un videi un radītu vietu uzņēmējdarbības attīstībai;</w:t>
            </w:r>
          </w:p>
          <w:p w14:paraId="67513EB2">
            <w:pPr>
              <w:pStyle w:val="52"/>
              <w:numPr>
                <w:ilvl w:val="0"/>
                <w:numId w:val="19"/>
              </w:numPr>
              <w:spacing w:after="0" w:line="240" w:lineRule="auto"/>
              <w:ind w:left="167" w:hanging="167"/>
              <w:jc w:val="both"/>
              <w:rPr>
                <w:rFonts w:ascii="Times New Roman" w:hAnsi="Times New Roman" w:cs="Times New Roman"/>
                <w:sz w:val="20"/>
                <w:szCs w:val="20"/>
              </w:rPr>
            </w:pPr>
            <w:r>
              <w:rPr>
                <w:rFonts w:ascii="Times New Roman" w:hAnsi="Times New Roman" w:eastAsia="Times New Roman" w:cs="Times New Roman"/>
                <w:sz w:val="20"/>
                <w:szCs w:val="20"/>
              </w:rPr>
              <w:t>komunikācijas un vizuālās identitātes prasību nodrošināšanas pasākumi par projekta īstenošanu;</w:t>
            </w:r>
          </w:p>
          <w:p w14:paraId="2A25AB9C">
            <w:pPr>
              <w:pStyle w:val="52"/>
              <w:numPr>
                <w:ilvl w:val="0"/>
                <w:numId w:val="19"/>
              </w:numPr>
              <w:spacing w:after="0" w:line="240" w:lineRule="auto"/>
              <w:ind w:left="167" w:hanging="167"/>
              <w:jc w:val="both"/>
              <w:rPr>
                <w:rFonts w:ascii="Times New Roman" w:hAnsi="Times New Roman" w:cs="Times New Roman"/>
                <w:sz w:val="20"/>
                <w:szCs w:val="20"/>
              </w:rPr>
            </w:pPr>
            <w:r>
              <w:rPr>
                <w:rFonts w:ascii="Times New Roman" w:hAnsi="Times New Roman" w:eastAsia="Times New Roman" w:cs="Times New Roman"/>
                <w:sz w:val="20"/>
                <w:szCs w:val="20"/>
              </w:rPr>
              <w:t>projekta vadības nodrošināšana.</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72E80125">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3E9645E2">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25 komersanti, kas gūst labumu no attīstītās publiskās infrastruktūras*</w:t>
            </w:r>
          </w:p>
          <w:p w14:paraId="0F8D8018">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To komersantu izveidotas 422 darbavietas, kuri guvuši labumu no attīstītās publiskās infrastruktūras**</w:t>
            </w:r>
          </w:p>
          <w:p w14:paraId="73AF0244">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32 853 186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privātās nefinanšu investīcijas nemateriālajos ieguldījumos un pamatlīdzekļos**</w:t>
            </w:r>
          </w:p>
          <w:p w14:paraId="38A10991">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Latgales statistikas reģionā 6.1.1.3.p. 1.kārtā:</w:t>
            </w:r>
          </w:p>
          <w:p w14:paraId="1E44455F">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Vismaz 8 komersanti, kas gūst labumu no attīstītās publiskās infrastruktūras*</w:t>
            </w:r>
          </w:p>
          <w:p w14:paraId="3D8FEA3B">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To komersantu izveidotas 121 darbavietas, kuri guvuši labumu no attīstītās publiskās infrastruktūras**</w:t>
            </w:r>
          </w:p>
          <w:p w14:paraId="5519B781">
            <w:pPr>
              <w:spacing w:after="120" w:line="240" w:lineRule="auto"/>
              <w:jc w:val="both"/>
              <w:rPr>
                <w:rFonts w:ascii="Times New Roman" w:hAnsi="Times New Roman" w:eastAsia="Times New Roman" w:cs="Times New Roman"/>
                <w:sz w:val="20"/>
                <w:szCs w:val="20"/>
              </w:rPr>
            </w:pPr>
            <w:r>
              <w:rPr>
                <w:rFonts w:ascii="Times New Roman" w:hAnsi="Times New Roman" w:cs="Times New Roman"/>
                <w:sz w:val="20"/>
                <w:szCs w:val="20"/>
              </w:rPr>
              <w:t xml:space="preserve">9 423 486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privātās nefinanšu investīcijas nemateriālajos ieguldījumos un pamatlīdzekļos**</w:t>
            </w:r>
          </w:p>
          <w:p w14:paraId="023538D9">
            <w:pPr>
              <w:spacing w:after="120" w:line="240" w:lineRule="auto"/>
              <w:jc w:val="both"/>
              <w:rPr>
                <w:rFonts w:ascii="Times New Roman" w:hAnsi="Times New Roman" w:cs="Times New Roman"/>
                <w:sz w:val="20"/>
                <w:szCs w:val="20"/>
              </w:rPr>
            </w:pP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4ED280A6">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C9E3366">
            <w:pPr>
              <w:spacing w:after="120" w:line="240" w:lineRule="auto"/>
              <w:jc w:val="center"/>
              <w:rPr>
                <w:rFonts w:ascii="Times New Roman" w:hAnsi="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C26D1C1">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2029.gada 31.decembris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686C3E2">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6942C31D">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46 043 092 </w:t>
            </w:r>
            <w:r>
              <w:rPr>
                <w:rFonts w:ascii="Times New Roman" w:hAnsi="Times New Roman" w:eastAsia="Times New Roman" w:cs="Times New Roman"/>
                <w:i/>
                <w:iCs/>
                <w:sz w:val="20"/>
                <w:szCs w:val="20"/>
              </w:rPr>
              <w:t>euro</w:t>
            </w:r>
          </w:p>
          <w:p w14:paraId="26215AD8">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Austrumu pierobežā:</w:t>
            </w:r>
          </w:p>
          <w:p w14:paraId="1AB22775">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14 135 229 </w:t>
            </w:r>
            <w:r>
              <w:rPr>
                <w:rFonts w:ascii="Times New Roman" w:hAnsi="Times New Roman" w:eastAsia="Times New Roman" w:cs="Times New Roman"/>
                <w:i/>
                <w:iCs/>
                <w:sz w:val="20"/>
                <w:szCs w:val="20"/>
              </w:rPr>
              <w:t>euro</w:t>
            </w:r>
          </w:p>
          <w:p w14:paraId="5849C323">
            <w:pPr>
              <w:spacing w:after="120" w:line="240" w:lineRule="auto"/>
              <w:rPr>
                <w:rFonts w:ascii="Times New Roman" w:hAnsi="Times New Roman" w:cs="Times New Roman"/>
                <w:sz w:val="20"/>
                <w:szCs w:val="20"/>
              </w:rPr>
            </w:pPr>
            <w:r>
              <w:rPr>
                <w:rFonts w:ascii="Times New Roman" w:hAnsi="Times New Roman" w:cs="Times New Roman"/>
                <w:i/>
                <w:iCs/>
                <w:sz w:val="20"/>
                <w:szCs w:val="20"/>
              </w:rPr>
              <w:t xml:space="preserve">(ES fondi: </w:t>
            </w:r>
            <w:r>
              <w:rPr>
                <w:rFonts w:ascii="Times New Roman" w:hAnsi="Times New Roman" w:eastAsia="Times New Roman" w:cs="Times New Roman"/>
                <w:i/>
                <w:iCs/>
                <w:sz w:val="20"/>
                <w:szCs w:val="20"/>
              </w:rPr>
              <w:t>Eiropas Savienības kohēzijas politikas programma 2021.–2027. gadam</w:t>
            </w:r>
            <w:r>
              <w:rPr>
                <w:rFonts w:ascii="Times New Roman" w:hAnsi="Times New Roman" w:cs="Times New Roman"/>
                <w:i/>
                <w:iCs/>
                <w:sz w:val="20"/>
                <w:szCs w:val="20"/>
              </w:rPr>
              <w:t>)</w:t>
            </w:r>
          </w:p>
        </w:tc>
      </w:tr>
      <w:tr w14:paraId="1DEE984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363A683D">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221D6A8">
            <w:pPr>
              <w:spacing w:line="240" w:lineRule="auto"/>
              <w:jc w:val="both"/>
              <w:rPr>
                <w:rFonts w:ascii="Times New Roman" w:hAnsi="Times New Roman" w:cs="Times New Roman"/>
                <w:sz w:val="20"/>
                <w:szCs w:val="20"/>
              </w:rPr>
            </w:pPr>
            <w:r>
              <w:rPr>
                <w:rFonts w:ascii="Times New Roman" w:hAnsi="Times New Roman" w:cs="Times New Roman"/>
                <w:sz w:val="20"/>
                <w:szCs w:val="20"/>
              </w:rPr>
              <w:t>5.1.1.1. pasākums “Atbalsts uzņēmējdarbības infrastruktūrai”</w:t>
            </w:r>
          </w:p>
          <w:p w14:paraId="79BDCF10">
            <w:pPr>
              <w:spacing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Pasākumā paredzēts piemērot labvēlīgu koeficientu Latgales plānošanas reģionam </w:t>
            </w:r>
            <w:r>
              <w:rPr>
                <w:rFonts w:ascii="Times New Roman" w:hAnsi="Times New Roman" w:cs="Times New Roman"/>
                <w:sz w:val="20"/>
                <w:szCs w:val="20"/>
              </w:rPr>
              <w:t xml:space="preserve">– Latgales plānošanas reģionam noteikts lielākais finansējuma apjoms starp reģioniem. </w:t>
            </w:r>
            <w:r>
              <w:rPr>
                <w:rFonts w:ascii="Times New Roman" w:hAnsi="Times New Roman" w:cs="Times New Roman"/>
                <w:bCs/>
                <w:sz w:val="20"/>
                <w:szCs w:val="20"/>
              </w:rPr>
              <w:t>Finansējums katram plānošanas reģionam tiek noteikts pēc IKP uz vienu iedzīvotāju apgrieztās proporcijas, lielāku finansējumu paredzot reģioniem, kuros uz vienu iedzīvotāju ir zemāks IKP.</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3C150E66">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Atbalstāmas darbības komercdarbības publiskās infrastruktūras attīstībai un pieejamībai  pilsētu funkcionālajās teritorijās saskaņā ar pašvaldības attīstības programmā noteikto:</w:t>
            </w:r>
          </w:p>
          <w:p w14:paraId="0ED62019">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līdz 2024. gada 31. decembrim uzņēmējdarbības mērķiem paredzēto ēku un ar tām saistītās infrastruktūras attīstīšana, izņemot ēkas, kurās paredzēta izmitināšana (NACE 2.red. I sadaļas 55. nodaļa), fiziskās labsajūtas uzlabošana (NACE 2.red. S sadaļas 96.04. klase), sporta nodarbības, izklaides un atpūtas darbība (NACE 2.red. R sadaļas 93. nodaļa) un izglītības pakalpojumi (NACE 2.red. P sadaļa). No 2025. gada 1. janvāra  uzņēmējdarbības mērķiem paredzēto ēku un ar tām saistītās infrastruktūras attīstīšana, izņemot ēkas, kurās paredzēta izmitināšana (NACE 2.1. red. I sadaļas 55. nodaļa), dienas SPA, saunu un tvaika pirts darbība (NACE 2.1. red. T sadaļas 96.23 klase), sporta nodarbības, izklaides un atpūtas darbība (NACE 2.1. red. S sadaļas 93. nodaļa) un izglītības pakalpojumi (NACE 2.1. red. Q sadaļa);</w:t>
            </w:r>
          </w:p>
          <w:p w14:paraId="479A05AC">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teritorijas labiekārtošana un ar to saistītie pasākumi;</w:t>
            </w:r>
          </w:p>
          <w:p w14:paraId="7AD85FDD">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ceļu satiksmei paredzētās infrastruktūras attīstīšana un ar to saistītie pasākumi;</w:t>
            </w:r>
          </w:p>
          <w:p w14:paraId="59E28CF5">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industriālo pieslēgumu ierīkošana un to saistītās jaudas palielināšana;</w:t>
            </w:r>
          </w:p>
          <w:p w14:paraId="63466D97">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inženiertehniskās sistēmas un iekārtas, kas uzkrāj vai ražo enerģiju no atjaunojamajiem energoresursiem, tai skaitā šādu sistēmu un iekārtu funkcionalitātei nepieciešamās inženierbūves, kas ir iepriekš minēto sistēmu un iekārtu sastāvdaļa;</w:t>
            </w:r>
          </w:p>
          <w:p w14:paraId="1FE72ADA">
            <w:pPr>
              <w:pStyle w:val="52"/>
              <w:numPr>
                <w:ilvl w:val="0"/>
                <w:numId w:val="19"/>
              </w:numPr>
              <w:spacing w:after="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videi nodarītā kaitējuma remediācija vai degradētu ekosistēmu sanācija, lai atjaunotu un uzlabotu vides kvalitāti piesārņotajās vietās un ap tām, novērstu apdraudējumu iedzīvotāju veselībai un videi un radītu vietu uzņēmējdarbības attīstībai;</w:t>
            </w:r>
          </w:p>
          <w:p w14:paraId="1480A99A">
            <w:pPr>
              <w:pStyle w:val="52"/>
              <w:numPr>
                <w:ilvl w:val="0"/>
                <w:numId w:val="19"/>
              </w:numPr>
              <w:spacing w:after="0" w:line="240" w:lineRule="auto"/>
              <w:ind w:left="167" w:hanging="167"/>
              <w:jc w:val="both"/>
              <w:rPr>
                <w:rFonts w:ascii="Times New Roman" w:hAnsi="Times New Roman" w:cs="Times New Roman"/>
                <w:sz w:val="20"/>
                <w:szCs w:val="20"/>
              </w:rPr>
            </w:pPr>
            <w:r>
              <w:rPr>
                <w:rFonts w:ascii="Times New Roman" w:hAnsi="Times New Roman" w:eastAsia="Times New Roman" w:cs="Times New Roman"/>
                <w:sz w:val="20"/>
                <w:szCs w:val="20"/>
              </w:rPr>
              <w:t>komunikācijas un vizuālās identitātes prasību nodrošināšanas pasākumi par projekta īstenošanu</w:t>
            </w:r>
          </w:p>
          <w:p w14:paraId="01BD9007">
            <w:pPr>
              <w:pStyle w:val="52"/>
              <w:numPr>
                <w:ilvl w:val="0"/>
                <w:numId w:val="19"/>
              </w:numPr>
              <w:spacing w:after="0" w:line="240" w:lineRule="auto"/>
              <w:ind w:left="167" w:hanging="167"/>
              <w:jc w:val="both"/>
              <w:rPr>
                <w:rFonts w:ascii="Times New Roman" w:hAnsi="Times New Roman" w:cs="Times New Roman"/>
                <w:sz w:val="20"/>
                <w:szCs w:val="20"/>
              </w:rPr>
            </w:pPr>
            <w:r>
              <w:rPr>
                <w:rFonts w:ascii="Times New Roman" w:hAnsi="Times New Roman" w:eastAsia="Times New Roman" w:cs="Times New Roman"/>
                <w:sz w:val="20"/>
                <w:szCs w:val="20"/>
              </w:rPr>
              <w:t>projekta vadības nodrošināšana</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7D803FB1">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0BE67CBD">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Vismaz 44 komersanti, kas gūst labumu no attīstītās publiskās infrastruktūras*</w:t>
            </w:r>
          </w:p>
          <w:p w14:paraId="2BE7C44B">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 xml:space="preserve">Vismaz 65 018 848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darba algu fonda pieaugums privātajos komersantos**</w:t>
            </w:r>
          </w:p>
          <w:p w14:paraId="4A24DADC">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 xml:space="preserve">Vismaz 86 691 797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privātās nefinanšu investīcijas nemateriālajos ieguldījumos un pamatlīdzekļos**</w:t>
            </w:r>
          </w:p>
          <w:p w14:paraId="1E77870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Latgales plānošanas reģionā 5.1.1.1.p. 1.kārtā un 2.kārtā:</w:t>
            </w:r>
          </w:p>
          <w:p w14:paraId="3AE86639">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Vismaz 10 komersanti, kas gūst labumu no attīstītās publiskās infrastruktūras*</w:t>
            </w:r>
          </w:p>
          <w:p w14:paraId="6F7F78BD">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 xml:space="preserve">Vismaz </w:t>
            </w:r>
            <w:r>
              <w:rPr>
                <w:rFonts w:ascii="Times New Roman" w:hAnsi="Times New Roman" w:cs="Times New Roman"/>
                <w:sz w:val="20"/>
                <w:szCs w:val="20"/>
              </w:rPr>
              <w:t xml:space="preserve">14 516 645 </w:t>
            </w:r>
            <w:r>
              <w:rPr>
                <w:rFonts w:ascii="Times New Roman" w:hAnsi="Times New Roman" w:eastAsia="Times New Roman" w:cs="Times New Roman"/>
                <w:sz w:val="20"/>
                <w:szCs w:val="20"/>
              </w:rPr>
              <w:t>euro darba algu fonda pieaugums privātajos komersantos**</w:t>
            </w:r>
          </w:p>
          <w:p w14:paraId="604B0FB8">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 xml:space="preserve">Vismaz </w:t>
            </w:r>
            <w:r>
              <w:rPr>
                <w:rFonts w:ascii="Times New Roman" w:hAnsi="Times New Roman" w:cs="Times New Roman"/>
                <w:sz w:val="20"/>
                <w:szCs w:val="20"/>
              </w:rPr>
              <w:t xml:space="preserve">19 355 527 </w:t>
            </w:r>
            <w:r>
              <w:rPr>
                <w:rFonts w:ascii="Times New Roman" w:hAnsi="Times New Roman" w:eastAsia="Times New Roman" w:cs="Times New Roman"/>
                <w:sz w:val="20"/>
                <w:szCs w:val="20"/>
              </w:rPr>
              <w:t>euro privātās nefinanšu investīcijas nemateriālajos ieguldījumos un pamatlīdzekļos**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3AA6E202">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F39413E">
            <w:pPr>
              <w:spacing w:after="120" w:line="240" w:lineRule="auto"/>
              <w:jc w:val="center"/>
              <w:rPr>
                <w:rFonts w:ascii="Times New Roman" w:hAnsi="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288AB2F">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2029.gada 31.decembris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664681A">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49C0ACC1">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130 037 695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w:t>
            </w:r>
          </w:p>
          <w:p w14:paraId="3E430AF8">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Austrumu pierobežā:</w:t>
            </w:r>
          </w:p>
          <w:p w14:paraId="16B55807">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29 033 290 </w:t>
            </w:r>
            <w:r>
              <w:rPr>
                <w:rFonts w:ascii="Times New Roman" w:hAnsi="Times New Roman" w:eastAsia="Times New Roman" w:cs="Times New Roman"/>
                <w:i/>
                <w:iCs/>
                <w:sz w:val="20"/>
                <w:szCs w:val="20"/>
              </w:rPr>
              <w:t>euro</w:t>
            </w:r>
          </w:p>
          <w:p w14:paraId="101C04BE">
            <w:pPr>
              <w:spacing w:after="120" w:line="240" w:lineRule="auto"/>
              <w:rPr>
                <w:rFonts w:ascii="Times New Roman" w:hAnsi="Times New Roman" w:cs="Times New Roman"/>
                <w:sz w:val="20"/>
                <w:szCs w:val="20"/>
              </w:rPr>
            </w:pPr>
            <w:r>
              <w:rPr>
                <w:rFonts w:ascii="Times New Roman" w:hAnsi="Times New Roman" w:cs="Times New Roman"/>
                <w:i/>
                <w:iCs/>
                <w:sz w:val="20"/>
                <w:szCs w:val="20"/>
              </w:rPr>
              <w:t xml:space="preserve">(ES fondi: </w:t>
            </w:r>
            <w:r>
              <w:rPr>
                <w:rFonts w:ascii="Times New Roman" w:hAnsi="Times New Roman" w:eastAsia="Times New Roman" w:cs="Times New Roman"/>
                <w:i/>
                <w:iCs/>
                <w:sz w:val="20"/>
                <w:szCs w:val="20"/>
              </w:rPr>
              <w:t>Eiropas Savienības kohēzijas politikas programma 2021.–2027. gadam</w:t>
            </w:r>
            <w:r>
              <w:rPr>
                <w:rFonts w:ascii="Times New Roman" w:hAnsi="Times New Roman" w:cs="Times New Roman"/>
                <w:i/>
                <w:iCs/>
                <w:sz w:val="20"/>
                <w:szCs w:val="20"/>
              </w:rPr>
              <w:t>)</w:t>
            </w:r>
          </w:p>
        </w:tc>
      </w:tr>
      <w:tr w14:paraId="7D6BBCE4">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4675F76C">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6A1D1C9">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3.1.1.2.i investīcija “Pašvaldību kapacitātes stiprināšana to darbības efektivitātes un kvalitātes uzlabošanai”</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78F9E6E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Celta pašvaldību kapacitāte to darbības efektivitātes un kvalitātes uzlabošanai administratīvi teritoriālās reformas kontekstā, lai tās spētu nodrošināt tām likumos noteikto autonomo funkciju izpildi salīdzināmā kvalitātē un pieejamībā, kā arī spētu sniegt iedzīvotājiem kvalitatīvus pakalpojumus par samērīgām izmaksām atbilstoši aktuālajām demogrāfiskajām tendencēm. </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374F78C">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298B663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Īstenoti kapacitāti stiprinoši pasākumi (semināri, darba grupa, pieredzes apmaiņas vizītes u.tml.*</w:t>
            </w:r>
          </w:p>
          <w:p w14:paraId="059C377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Īstenoti divi novērtējumi -viens par izaicinājumiem publisko pakalpojumu sniegšanā, sniedzot priekšlikumus par pakalpojumiem, kuru efektivitāte būtu uzlabojama, kā arī par nepieciešamajām zināšanām un prasmēm plānošanas reģionu un pašvaldību speciālistiem; otrs par īstenotā atbalsta ietekmi uz plānošanas reģionu un pašvaldību speciālistu kapacitātes paaugstināšanos, kā arī publisko pakalpojumu efektivitātes celšanu.*</w:t>
            </w:r>
          </w:p>
          <w:p w14:paraId="1BC2049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Apmācīto vietējās pašvaldības darbinieku skaits projekta īstenošanas laikā – 1 300**</w:t>
            </w:r>
          </w:p>
          <w:p w14:paraId="306EF24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608F7CB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Īstenoti kapacitāti stiprinoši pasākumi (semināri, darba grupa, pieredzes apmaiņas vizītes u.tml.*</w:t>
            </w:r>
          </w:p>
          <w:p w14:paraId="261C38C9">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Apmācīto vietējās pašvaldības darbinieku skaits projekta īstenošanas laikā – 260**</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23BB3D14">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VARAM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122FBBC">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Plānošanas reģioni</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620427A">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2026 gada 31. augusts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3E31599">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78DA633C">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3 025 000 </w:t>
            </w:r>
            <w:r>
              <w:rPr>
                <w:rFonts w:ascii="Times New Roman" w:hAnsi="Times New Roman" w:cs="Times New Roman"/>
                <w:i/>
                <w:iCs/>
                <w:sz w:val="20"/>
                <w:szCs w:val="20"/>
              </w:rPr>
              <w:t>euro</w:t>
            </w:r>
          </w:p>
          <w:p w14:paraId="4ED28719">
            <w:pPr>
              <w:spacing w:after="120" w:line="240" w:lineRule="auto"/>
              <w:rPr>
                <w:rFonts w:ascii="Times New Roman" w:hAnsi="Times New Roman" w:cs="Times New Roman"/>
                <w:sz w:val="20"/>
                <w:szCs w:val="20"/>
              </w:rPr>
            </w:pPr>
            <w:r>
              <w:rPr>
                <w:rFonts w:ascii="Times New Roman" w:hAnsi="Times New Roman" w:cs="Times New Roman"/>
                <w:sz w:val="20"/>
                <w:szCs w:val="20"/>
              </w:rPr>
              <w:t>Austrumu pierobežā:</w:t>
            </w:r>
          </w:p>
          <w:p w14:paraId="63C3F159">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443 734 </w:t>
            </w:r>
            <w:r>
              <w:rPr>
                <w:rFonts w:ascii="Times New Roman" w:hAnsi="Times New Roman" w:cs="Times New Roman"/>
                <w:i/>
                <w:iCs/>
                <w:sz w:val="20"/>
                <w:szCs w:val="20"/>
              </w:rPr>
              <w:t>euro</w:t>
            </w:r>
          </w:p>
          <w:p w14:paraId="6EA2FA5D">
            <w:pPr>
              <w:spacing w:after="120" w:line="240" w:lineRule="auto"/>
              <w:rPr>
                <w:rFonts w:ascii="Times New Roman" w:hAnsi="Times New Roman" w:cs="Times New Roman"/>
                <w:sz w:val="20"/>
                <w:szCs w:val="20"/>
              </w:rPr>
            </w:pPr>
            <w:r>
              <w:rPr>
                <w:rFonts w:ascii="Times New Roman" w:hAnsi="Times New Roman" w:cs="Times New Roman"/>
                <w:i/>
                <w:iCs/>
                <w:sz w:val="20"/>
                <w:szCs w:val="20"/>
              </w:rPr>
              <w:t>(ES fondi: Atjaunošanas un noturības mehānisms)</w:t>
            </w:r>
          </w:p>
        </w:tc>
      </w:tr>
      <w:tr w14:paraId="596EF057">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2D70861C">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0D5B66A">
            <w:pPr>
              <w:spacing w:line="240" w:lineRule="auto"/>
              <w:jc w:val="both"/>
              <w:rPr>
                <w:rFonts w:ascii="Times New Roman" w:hAnsi="Times New Roman" w:cs="Times New Roman"/>
                <w:bCs/>
                <w:sz w:val="20"/>
                <w:szCs w:val="20"/>
              </w:rPr>
            </w:pPr>
            <w:r>
              <w:rPr>
                <w:rFonts w:ascii="Times New Roman" w:hAnsi="Times New Roman" w:cs="Times New Roman"/>
                <w:sz w:val="20"/>
                <w:szCs w:val="20"/>
              </w:rPr>
              <w:t>Aizdevumi ar kapitāla atlaidi eksportējošiem komersantiem lielo investīciju projektu atbalstam</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46D364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Sniegts atbalsts lieliem investīciju projektiem aizdevumu ar kapitāla atlaidi formā</w:t>
            </w:r>
          </w:p>
          <w:p w14:paraId="31C3DCF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Aizdevumu programmas pirmās un slēgtās atlases kārtā Austrumu pierobežā noslēgti līgumi par atbalsta piešķiršanu 2 investīciju projektiem, kur pieteiktā kapitāla atlaide ir 19,19 milj. </w:t>
            </w:r>
            <w:r>
              <w:rPr>
                <w:rFonts w:ascii="Times New Roman" w:hAnsi="Times New Roman" w:cs="Times New Roman"/>
                <w:i/>
                <w:iCs/>
                <w:sz w:val="20"/>
                <w:szCs w:val="20"/>
              </w:rPr>
              <w:t>euro</w:t>
            </w:r>
            <w:r>
              <w:rPr>
                <w:rFonts w:ascii="Times New Roman" w:hAnsi="Times New Roman" w:cs="Times New Roman"/>
                <w:sz w:val="20"/>
                <w:szCs w:val="20"/>
              </w:rPr>
              <w:t xml:space="preserve"> un 2 investīciju projekti apstiprināti (LIAA) trešajā atlases kārtā (vēl tiek vērtēti pie ALTUM), kur pieteiktā kapitāla atlaide ir 15,31 milj. </w:t>
            </w:r>
            <w:r>
              <w:rPr>
                <w:rFonts w:ascii="Times New Roman" w:hAnsi="Times New Roman" w:cs="Times New Roman"/>
                <w:i/>
                <w:iCs/>
                <w:sz w:val="20"/>
                <w:szCs w:val="20"/>
              </w:rPr>
              <w:t>euro</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94089BB">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17692EC1">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Aizdevumiem piesaistītais finansējums: 282 565 000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w:t>
            </w:r>
          </w:p>
          <w:p w14:paraId="18CB45C6">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Rezultāta rādītājs:</w:t>
            </w:r>
          </w:p>
          <w:p w14:paraId="682EDAF9">
            <w:pPr>
              <w:spacing w:after="120" w:line="240" w:lineRule="auto"/>
              <w:jc w:val="both"/>
              <w:rPr>
                <w:rFonts w:ascii="Times New Roman" w:hAnsi="Times New Roman" w:cs="Times New Roman"/>
                <w:b/>
                <w:sz w:val="20"/>
                <w:szCs w:val="20"/>
              </w:rPr>
            </w:pPr>
            <w:r>
              <w:rPr>
                <w:rFonts w:ascii="Times New Roman" w:hAnsi="Times New Roman" w:eastAsia="Times New Roman" w:cs="Times New Roman"/>
                <w:sz w:val="20"/>
                <w:szCs w:val="20"/>
              </w:rPr>
              <w:t>Radītas vismaz 1584 jaunas labi apmaksātas darba vieta**</w:t>
            </w:r>
          </w:p>
          <w:p w14:paraId="0A40A0AA">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 xml:space="preserve">Nodrošināts eksporta apjoms 497,52 milj.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apmērā**</w:t>
            </w:r>
          </w:p>
          <w:p w14:paraId="3DBF1D0A">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 xml:space="preserve">Veikti ieguldījumi  P&amp;A 23,64 milj.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apmērā**</w:t>
            </w:r>
          </w:p>
          <w:p w14:paraId="5C7E66E0">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Rezultāti A pierobežā: </w:t>
            </w:r>
          </w:p>
          <w:p w14:paraId="4FFA8709">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Aizdevumiem piesaistītais finansējums: 34 500 000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w:t>
            </w:r>
          </w:p>
          <w:p w14:paraId="4200F57A">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Jaunas darba vietas: 280**</w:t>
            </w:r>
            <w:r>
              <w:rPr>
                <w:rFonts w:ascii="Times New Roman" w:hAnsi="Times New Roman" w:eastAsia="Times New Roman" w:cs="Times New Roman"/>
                <w:sz w:val="20"/>
                <w:szCs w:val="20"/>
              </w:rPr>
              <w:br w:type="textWrapping"/>
            </w:r>
            <w:r>
              <w:rPr>
                <w:rFonts w:ascii="Times New Roman" w:hAnsi="Times New Roman" w:eastAsia="Times New Roman" w:cs="Times New Roman"/>
                <w:sz w:val="20"/>
                <w:szCs w:val="20"/>
              </w:rPr>
              <w:t xml:space="preserve">Eksporta apjoms: 96,63 milj.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w:t>
            </w:r>
            <w:r>
              <w:rPr>
                <w:rFonts w:ascii="Times New Roman" w:hAnsi="Times New Roman" w:eastAsia="Times New Roman" w:cs="Times New Roman"/>
                <w:sz w:val="20"/>
                <w:szCs w:val="20"/>
              </w:rPr>
              <w:br w:type="textWrapping"/>
            </w:r>
            <w:r>
              <w:rPr>
                <w:rFonts w:ascii="Times New Roman" w:hAnsi="Times New Roman" w:eastAsia="Times New Roman" w:cs="Times New Roman"/>
                <w:sz w:val="20"/>
                <w:szCs w:val="20"/>
              </w:rPr>
              <w:t xml:space="preserve">Ieguldījumi P&amp;A: 2,76 milj.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39D62BED">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EM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85FFE6F">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ALTUM</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5B0D246">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31.12.2026.</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54204B1">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327679B4">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282 565 000 </w:t>
            </w:r>
            <w:r>
              <w:rPr>
                <w:rFonts w:ascii="Times New Roman" w:hAnsi="Times New Roman" w:eastAsia="Times New Roman" w:cs="Times New Roman"/>
                <w:i/>
                <w:iCs/>
                <w:sz w:val="20"/>
                <w:szCs w:val="20"/>
              </w:rPr>
              <w:t>euro</w:t>
            </w:r>
          </w:p>
          <w:p w14:paraId="597C244A">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A pierobežā: </w:t>
            </w:r>
          </w:p>
          <w:p w14:paraId="563A2765">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34 500 000 </w:t>
            </w:r>
            <w:r>
              <w:rPr>
                <w:rFonts w:ascii="Times New Roman" w:hAnsi="Times New Roman" w:eastAsia="Times New Roman" w:cs="Times New Roman"/>
                <w:i/>
                <w:iCs/>
                <w:sz w:val="20"/>
                <w:szCs w:val="20"/>
              </w:rPr>
              <w:t>euro</w:t>
            </w:r>
          </w:p>
          <w:p w14:paraId="2B7F9B20">
            <w:pPr>
              <w:spacing w:after="120" w:line="240" w:lineRule="auto"/>
              <w:rPr>
                <w:rFonts w:ascii="Times New Roman" w:hAnsi="Times New Roman" w:cs="Times New Roman"/>
                <w:sz w:val="20"/>
                <w:szCs w:val="20"/>
              </w:rPr>
            </w:pPr>
            <w:r>
              <w:rPr>
                <w:rFonts w:ascii="Times New Roman" w:hAnsi="Times New Roman" w:cs="Times New Roman"/>
                <w:i/>
                <w:iCs/>
                <w:sz w:val="20"/>
                <w:szCs w:val="20"/>
              </w:rPr>
              <w:t>(Valsts budžets</w:t>
            </w:r>
            <w:r>
              <w:rPr>
                <w:rStyle w:val="20"/>
                <w:rFonts w:ascii="Times New Roman" w:hAnsi="Times New Roman" w:cs="Times New Roman"/>
                <w:i/>
                <w:iCs/>
                <w:sz w:val="20"/>
                <w:szCs w:val="20"/>
              </w:rPr>
              <w:footnoteReference w:id="50"/>
            </w:r>
            <w:r>
              <w:rPr>
                <w:rFonts w:ascii="Times New Roman" w:hAnsi="Times New Roman" w:cs="Times New Roman"/>
                <w:i/>
                <w:iCs/>
                <w:sz w:val="20"/>
                <w:szCs w:val="20"/>
              </w:rPr>
              <w:t>)</w:t>
            </w:r>
          </w:p>
        </w:tc>
      </w:tr>
      <w:tr w14:paraId="3602C71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079EC743">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14F103B">
            <w:pPr>
              <w:spacing w:line="240" w:lineRule="auto"/>
              <w:jc w:val="both"/>
              <w:rPr>
                <w:rFonts w:ascii="Times New Roman" w:hAnsi="Times New Roman" w:cs="Times New Roman"/>
                <w:bCs/>
                <w:sz w:val="20"/>
                <w:szCs w:val="20"/>
              </w:rPr>
            </w:pPr>
            <w:r>
              <w:rPr>
                <w:rFonts w:ascii="Times New Roman" w:hAnsi="Times New Roman" w:cs="Times New Roman"/>
                <w:sz w:val="20"/>
                <w:szCs w:val="20"/>
              </w:rPr>
              <w:t>4.3.1.3. pasākums “Sociālo mājokļu būvniecība vai atjaunošana”</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2FF903A8">
            <w:pPr>
              <w:spacing w:line="256" w:lineRule="auto"/>
              <w:jc w:val="both"/>
              <w:rPr>
                <w:rFonts w:ascii="Times New Roman" w:hAnsi="Times New Roman" w:cs="Times New Roman"/>
                <w:sz w:val="20"/>
                <w:szCs w:val="20"/>
              </w:rPr>
            </w:pPr>
            <w:r>
              <w:rPr>
                <w:rFonts w:ascii="Times New Roman" w:hAnsi="Times New Roman" w:cs="Times New Roman"/>
                <w:sz w:val="20"/>
                <w:szCs w:val="20"/>
              </w:rPr>
              <w:t>Atbalsts sociālo mājokļu būvniecībai vai atjaunošanai pašvaldībām.</w:t>
            </w:r>
          </w:p>
          <w:p w14:paraId="012E9EC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Atbalsta pasākuma 1.kārtas ietvaros  uz 01.10. 2024. ir apstiprināti/noslēgtas vienošanās par 29 projektu īstenošanu. No tiem 7 projekti  apstiprināti un vienošanās noslēgtas par ēku un dzīvokļu atjaunošanu Austrumu pierobežas pašvaldībās, pieprasot ERAF finansējumu 2.76 milj. </w:t>
            </w:r>
            <w:r>
              <w:rPr>
                <w:rFonts w:ascii="Times New Roman" w:hAnsi="Times New Roman" w:cs="Times New Roman"/>
                <w:i/>
                <w:iCs/>
                <w:sz w:val="20"/>
                <w:szCs w:val="20"/>
              </w:rPr>
              <w:t>euro</w:t>
            </w:r>
            <w:r>
              <w:rPr>
                <w:rFonts w:ascii="Times New Roman" w:hAnsi="Times New Roman" w:cs="Times New Roman"/>
                <w:sz w:val="20"/>
                <w:szCs w:val="20"/>
              </w:rPr>
              <w:t xml:space="preserve"> apmērā (kopējais plānotais publiskais finansējums 3.97 milj. </w:t>
            </w:r>
            <w:r>
              <w:rPr>
                <w:rFonts w:ascii="Times New Roman" w:hAnsi="Times New Roman" w:cs="Times New Roman"/>
                <w:i/>
                <w:iCs/>
                <w:sz w:val="20"/>
                <w:szCs w:val="20"/>
              </w:rPr>
              <w:t>euro</w:t>
            </w:r>
            <w:r>
              <w:rPr>
                <w:rFonts w:ascii="Times New Roman" w:hAnsi="Times New Roman" w:cs="Times New Roman"/>
                <w:sz w:val="20"/>
                <w:szCs w:val="20"/>
              </w:rPr>
              <w:t xml:space="preserve"> apmērā) un izveidojot 143 sociālos mājokļus.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8470C18">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38A7CA83">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Jaunu vai modernizētu sociālo mājokļu kapacitāte - 1 865 personas*</w:t>
            </w:r>
          </w:p>
          <w:p w14:paraId="2F4EB8EB">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Ikgadējais jaunu vai modernizētu sociālo mājokļu lietotāju skaits – vismaz 1 865 personas**</w:t>
            </w:r>
          </w:p>
          <w:p w14:paraId="7A18DE91">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Austrumu pierobežā:</w:t>
            </w:r>
          </w:p>
          <w:p w14:paraId="79CBC9CB">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Jaunu vai modernizētu sociālo mājokļu kapacitāte - 143 personas*</w:t>
            </w:r>
          </w:p>
          <w:p w14:paraId="748EB938">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Ikgadējais jaunu vai modernizētu sociālo mājokļu lietotāju skaits – vismaz 143 personas**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226493A1">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EM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780574A">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CFLA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1A17684">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31.12.2029</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99E2887">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167ECEE6">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60 900 001 </w:t>
            </w:r>
            <w:r>
              <w:rPr>
                <w:rFonts w:ascii="Times New Roman" w:hAnsi="Times New Roman" w:eastAsia="Times New Roman" w:cs="Times New Roman"/>
                <w:i/>
                <w:iCs/>
                <w:sz w:val="20"/>
                <w:szCs w:val="20"/>
              </w:rPr>
              <w:t>euro</w:t>
            </w:r>
          </w:p>
          <w:p w14:paraId="325EB3BC">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Austrumu pierobežā 1. kārtas ietvaros piešķirti: </w:t>
            </w:r>
          </w:p>
          <w:p w14:paraId="08916761">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2 760 000 </w:t>
            </w:r>
            <w:r>
              <w:rPr>
                <w:rFonts w:ascii="Times New Roman" w:hAnsi="Times New Roman" w:eastAsia="Times New Roman" w:cs="Times New Roman"/>
                <w:i/>
                <w:iCs/>
                <w:sz w:val="20"/>
                <w:szCs w:val="20"/>
              </w:rPr>
              <w:t>euro</w:t>
            </w:r>
          </w:p>
          <w:p w14:paraId="0A4C8E7B">
            <w:pPr>
              <w:spacing w:after="120" w:line="240" w:lineRule="auto"/>
              <w:rPr>
                <w:rFonts w:ascii="Times New Roman" w:hAnsi="Times New Roman" w:cs="Times New Roman"/>
                <w:sz w:val="20"/>
                <w:szCs w:val="20"/>
              </w:rPr>
            </w:pPr>
            <w:r>
              <w:rPr>
                <w:rFonts w:ascii="Times New Roman" w:hAnsi="Times New Roman" w:cs="Times New Roman"/>
                <w:i/>
                <w:iCs/>
                <w:sz w:val="20"/>
                <w:szCs w:val="20"/>
              </w:rPr>
              <w:t xml:space="preserve">(ES fondi: </w:t>
            </w:r>
            <w:r>
              <w:rPr>
                <w:rFonts w:ascii="Times New Roman" w:hAnsi="Times New Roman" w:eastAsia="Times New Roman" w:cs="Times New Roman"/>
                <w:i/>
                <w:iCs/>
                <w:sz w:val="20"/>
                <w:szCs w:val="20"/>
              </w:rPr>
              <w:t>Eiropas Savienības kohēzijas politikas programma 2021.–2027. gadam</w:t>
            </w:r>
            <w:r>
              <w:rPr>
                <w:rFonts w:ascii="Times New Roman" w:hAnsi="Times New Roman" w:cs="Times New Roman"/>
                <w:i/>
                <w:iCs/>
                <w:sz w:val="20"/>
                <w:szCs w:val="20"/>
              </w:rPr>
              <w:t>)</w:t>
            </w:r>
          </w:p>
        </w:tc>
      </w:tr>
      <w:tr w14:paraId="1AEE914B">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4A331CD3">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5E5A432">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Atbalsta programma "Aizdevumi produktivitātes kāpināšanai (investīcijas un apgrozāmie līdzekļi)</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75D8C7F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Sniegt atbalstu aizdevumiem investīcijām un apgrozāmajiem līdzekļiem</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CE59B92">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79E93FC5">
            <w:pPr>
              <w:spacing w:after="120" w:line="256" w:lineRule="auto"/>
              <w:jc w:val="both"/>
              <w:rPr>
                <w:rFonts w:ascii="Times New Roman" w:hAnsi="Times New Roman" w:cs="Times New Roman"/>
                <w:sz w:val="20"/>
                <w:szCs w:val="20"/>
              </w:rPr>
            </w:pPr>
            <w:r>
              <w:rPr>
                <w:rFonts w:ascii="Times New Roman" w:hAnsi="Times New Roman" w:cs="Times New Roman"/>
                <w:sz w:val="20"/>
                <w:szCs w:val="20"/>
              </w:rPr>
              <w:t>Atbalstīti uzņēmumi: 50*</w:t>
            </w:r>
          </w:p>
          <w:p w14:paraId="7C002FC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Publisko atbalstu papildinošās privātās investīcijas: 5 000 000 </w:t>
            </w:r>
            <w:r>
              <w:rPr>
                <w:rFonts w:ascii="Times New Roman" w:hAnsi="Times New Roman" w:cs="Times New Roman"/>
                <w:i/>
                <w:iCs/>
                <w:sz w:val="20"/>
                <w:szCs w:val="20"/>
              </w:rPr>
              <w:t>euro</w:t>
            </w:r>
            <w:r>
              <w:rPr>
                <w:rFonts w:ascii="Times New Roman" w:hAnsi="Times New Roman" w:cs="Times New Roman"/>
                <w:sz w:val="20"/>
                <w:szCs w:val="20"/>
              </w:rPr>
              <w:t>**</w:t>
            </w:r>
          </w:p>
          <w:p w14:paraId="51906EA6">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Austrumu pierobežā:</w:t>
            </w:r>
          </w:p>
          <w:p w14:paraId="607205AD">
            <w:pPr>
              <w:spacing w:after="120" w:line="256" w:lineRule="auto"/>
              <w:jc w:val="both"/>
              <w:rPr>
                <w:rFonts w:ascii="Times New Roman" w:hAnsi="Times New Roman" w:cs="Times New Roman"/>
                <w:sz w:val="20"/>
                <w:szCs w:val="20"/>
              </w:rPr>
            </w:pPr>
            <w:r>
              <w:rPr>
                <w:rFonts w:ascii="Times New Roman" w:hAnsi="Times New Roman" w:cs="Times New Roman"/>
                <w:sz w:val="20"/>
                <w:szCs w:val="20"/>
              </w:rPr>
              <w:t>Atbalstīti uzņēmumi: 8*</w:t>
            </w:r>
          </w:p>
          <w:p w14:paraId="187C123E">
            <w:pPr>
              <w:spacing w:after="120" w:line="240" w:lineRule="auto"/>
              <w:jc w:val="both"/>
              <w:rPr>
                <w:rFonts w:ascii="Times New Roman" w:hAnsi="Times New Roman" w:cs="Times New Roman"/>
                <w:sz w:val="20"/>
                <w:szCs w:val="20"/>
                <w:highlight w:val="cyan"/>
              </w:rPr>
            </w:pPr>
            <w:r>
              <w:rPr>
                <w:rFonts w:ascii="Times New Roman" w:hAnsi="Times New Roman" w:cs="Times New Roman"/>
                <w:sz w:val="20"/>
                <w:szCs w:val="20"/>
              </w:rPr>
              <w:t xml:space="preserve">Publisko atbalstu papildinošās privātās investīcijas: 800 000 </w:t>
            </w:r>
            <w:r>
              <w:rPr>
                <w:rFonts w:ascii="Times New Roman" w:hAnsi="Times New Roman" w:cs="Times New Roman"/>
                <w:i/>
                <w:iCs/>
                <w:sz w:val="20"/>
                <w:szCs w:val="20"/>
              </w:rPr>
              <w:t>euro</w:t>
            </w:r>
            <w:r>
              <w:rPr>
                <w:rFonts w:ascii="Times New Roman" w:hAnsi="Times New Roman" w:cs="Times New Roman"/>
                <w:sz w:val="20"/>
                <w:szCs w:val="20"/>
              </w:rPr>
              <w:t>**</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6AD4A15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A3DCDF5">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ALTUM</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01323EB">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09.01.2024.</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6DF27BB">
            <w:pPr>
              <w:rPr>
                <w:rFonts w:ascii="Times New Roman" w:hAnsi="Times New Roman" w:cs="Times New Roman"/>
                <w:sz w:val="20"/>
                <w:szCs w:val="20"/>
              </w:rPr>
            </w:pPr>
            <w:r>
              <w:rPr>
                <w:rFonts w:ascii="Times New Roman" w:hAnsi="Times New Roman" w:eastAsia="Times New Roman" w:cs="Times New Roman"/>
                <w:sz w:val="20"/>
                <w:szCs w:val="20"/>
              </w:rPr>
              <w:t>Kopējais finansējums visā Latvijā</w:t>
            </w:r>
            <w:r>
              <w:rPr>
                <w:rFonts w:ascii="Times New Roman" w:hAnsi="Times New Roman" w:cs="Times New Roman"/>
                <w:sz w:val="20"/>
                <w:szCs w:val="20"/>
              </w:rPr>
              <w:t xml:space="preserve">: </w:t>
            </w:r>
          </w:p>
          <w:p w14:paraId="2FD8B18F">
            <w:pPr>
              <w:rPr>
                <w:rFonts w:ascii="Times New Roman" w:hAnsi="Times New Roman" w:cs="Times New Roman"/>
                <w:sz w:val="20"/>
                <w:szCs w:val="20"/>
              </w:rPr>
            </w:pPr>
            <w:r>
              <w:rPr>
                <w:rFonts w:ascii="Times New Roman" w:hAnsi="Times New Roman" w:cs="Times New Roman"/>
                <w:sz w:val="20"/>
                <w:szCs w:val="20"/>
              </w:rPr>
              <w:t xml:space="preserve">28 062 858,00 </w:t>
            </w:r>
            <w:r>
              <w:rPr>
                <w:rFonts w:ascii="Times New Roman" w:hAnsi="Times New Roman" w:cs="Times New Roman"/>
                <w:i/>
                <w:iCs/>
                <w:sz w:val="20"/>
                <w:szCs w:val="20"/>
              </w:rPr>
              <w:t>euro</w:t>
            </w:r>
          </w:p>
          <w:p w14:paraId="12789B74">
            <w:pPr>
              <w:rPr>
                <w:rFonts w:ascii="Times New Roman" w:hAnsi="Times New Roman" w:cs="Times New Roman"/>
                <w:sz w:val="20"/>
                <w:szCs w:val="20"/>
              </w:rPr>
            </w:pPr>
            <w:r>
              <w:rPr>
                <w:rFonts w:ascii="Times New Roman" w:hAnsi="Times New Roman" w:cs="Times New Roman"/>
                <w:sz w:val="20"/>
                <w:szCs w:val="20"/>
              </w:rPr>
              <w:t>Austrumu pierobežā:</w:t>
            </w:r>
          </w:p>
          <w:p w14:paraId="3AE9F4AB">
            <w:pPr>
              <w:rPr>
                <w:rFonts w:ascii="Times New Roman" w:hAnsi="Times New Roman" w:cs="Times New Roman"/>
                <w:sz w:val="20"/>
                <w:szCs w:val="20"/>
              </w:rPr>
            </w:pPr>
            <w:r>
              <w:rPr>
                <w:rFonts w:ascii="Times New Roman" w:hAnsi="Times New Roman" w:cs="Times New Roman"/>
                <w:sz w:val="20"/>
                <w:szCs w:val="20"/>
              </w:rPr>
              <w:t xml:space="preserve">1 300 000 </w:t>
            </w:r>
            <w:r>
              <w:rPr>
                <w:rFonts w:ascii="Times New Roman" w:hAnsi="Times New Roman" w:cs="Times New Roman"/>
                <w:i/>
                <w:iCs/>
                <w:sz w:val="20"/>
                <w:szCs w:val="20"/>
              </w:rPr>
              <w:t>euro</w:t>
            </w:r>
          </w:p>
          <w:p w14:paraId="5F10A9D1">
            <w:pPr>
              <w:rPr>
                <w:rFonts w:ascii="Times New Roman" w:hAnsi="Times New Roman" w:cs="Times New Roman"/>
                <w:sz w:val="20"/>
                <w:szCs w:val="20"/>
              </w:rPr>
            </w:pPr>
            <w:r>
              <w:rPr>
                <w:rFonts w:ascii="Times New Roman" w:hAnsi="Times New Roman" w:cs="Times New Roman"/>
                <w:i/>
                <w:iCs/>
                <w:sz w:val="20"/>
                <w:szCs w:val="20"/>
              </w:rPr>
              <w:t>(</w:t>
            </w:r>
            <w:r>
              <w:rPr>
                <w:rFonts w:ascii="Times New Roman" w:hAnsi="Times New Roman" w:cs="Times New Roman"/>
                <w:i/>
                <w:sz w:val="20"/>
                <w:szCs w:val="20"/>
              </w:rPr>
              <w:t>ES fondi</w:t>
            </w:r>
            <w:r>
              <w:rPr>
                <w:rFonts w:ascii="Times New Roman" w:hAnsi="Times New Roman" w:cs="Times New Roman"/>
                <w:i/>
                <w:iCs/>
                <w:sz w:val="20"/>
                <w:szCs w:val="20"/>
              </w:rPr>
              <w:t>)</w:t>
            </w:r>
          </w:p>
          <w:p w14:paraId="6955C835">
            <w:pPr>
              <w:spacing w:after="120" w:line="240" w:lineRule="auto"/>
              <w:rPr>
                <w:rFonts w:ascii="Times New Roman" w:hAnsi="Times New Roman" w:cs="Times New Roman"/>
                <w:sz w:val="20"/>
                <w:szCs w:val="20"/>
              </w:rPr>
            </w:pPr>
          </w:p>
        </w:tc>
      </w:tr>
      <w:tr w14:paraId="4053EDE4">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4D489D46">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5C654A7">
            <w:pPr>
              <w:spacing w:line="240" w:lineRule="auto"/>
              <w:jc w:val="both"/>
              <w:rPr>
                <w:rFonts w:ascii="Times New Roman" w:hAnsi="Times New Roman" w:cs="Times New Roman"/>
                <w:bCs/>
                <w:sz w:val="20"/>
                <w:szCs w:val="20"/>
              </w:rPr>
            </w:pPr>
            <w:r>
              <w:rPr>
                <w:rFonts w:ascii="Times New Roman" w:hAnsi="Times New Roman" w:cs="Times New Roman"/>
                <w:sz w:val="20"/>
                <w:szCs w:val="20"/>
              </w:rPr>
              <w:t>1.2.1.2.i. investīcija "Energoefektivitātes paaugstināšana uzņēmējdarbībā (ietverot pāreju uz atjaunojamo energoresursu tehnoloģiju izmantošanu siltumapgādē un pētniecības un attīstības aktivitātes (t. sk. bioekonomikā))" 1.2.1.2.i.1. pasākums "Energoefektivitātes paaugstināšana uzņēmējdarbībā (ietverot pāreju uz atjaunojamo energoresursu tehnoloģiju izmantošanu siltumapgādē)"</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14B3CD6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Sniegts atbalsts energoefektivitātes paaugstināšanai uzņēmējdarbībā (ietverot pāreju uz atjaunojamo energoresursu tehnoloģiju izmantošanu siltumapgādē).</w:t>
            </w:r>
          </w:p>
          <w:p w14:paraId="50DBEB9E">
            <w:pPr>
              <w:spacing w:after="0" w:line="240" w:lineRule="auto"/>
              <w:jc w:val="both"/>
              <w:rPr>
                <w:rFonts w:ascii="Times New Roman" w:hAnsi="Times New Roman" w:cs="Times New Roman"/>
                <w:sz w:val="20"/>
                <w:szCs w:val="20"/>
              </w:rPr>
            </w:pPr>
          </w:p>
          <w:p w14:paraId="54AA7CC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Uz 2024. gada III ceturksni kopumā saņemti 322 projekta pieteikumi, no kuriem 12 projekti īstenoti Austrumu pierobežā, tiem piešķirot kapitāla atlaidi 1 420 928,99 </w:t>
            </w:r>
            <w:r>
              <w:rPr>
                <w:rFonts w:ascii="Times New Roman" w:hAnsi="Times New Roman" w:cs="Times New Roman"/>
                <w:i/>
                <w:iCs/>
                <w:sz w:val="20"/>
                <w:szCs w:val="20"/>
              </w:rPr>
              <w:t>euro</w:t>
            </w:r>
            <w:r>
              <w:rPr>
                <w:rFonts w:ascii="Times New Roman" w:hAnsi="Times New Roman" w:cs="Times New Roman"/>
                <w:sz w:val="20"/>
                <w:szCs w:val="20"/>
              </w:rPr>
              <w:t xml:space="preserve"> apmērā</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A93493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Rezultāti visā Latvijā: </w:t>
            </w:r>
          </w:p>
          <w:p w14:paraId="5D5F0A0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Piešķirtā kapitāla atlaide: 4 221 182  </w:t>
            </w:r>
            <w:r>
              <w:rPr>
                <w:rFonts w:ascii="Times New Roman" w:hAnsi="Times New Roman" w:cs="Times New Roman"/>
                <w:i/>
                <w:iCs/>
                <w:sz w:val="20"/>
                <w:szCs w:val="20"/>
              </w:rPr>
              <w:t>euro</w:t>
            </w:r>
            <w:r>
              <w:rPr>
                <w:rFonts w:ascii="Times New Roman" w:hAnsi="Times New Roman" w:cs="Times New Roman"/>
                <w:sz w:val="20"/>
                <w:szCs w:val="20"/>
              </w:rPr>
              <w:t>*</w:t>
            </w:r>
          </w:p>
          <w:p w14:paraId="2210CE5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71 projekti atbalstīti* </w:t>
            </w:r>
          </w:p>
          <w:p w14:paraId="743F12F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Aprēķinātais plānotais siltumnīcefekta gāzu emisiju ietaupījums: 7 581,98 CO</w:t>
            </w:r>
            <w:r>
              <w:rPr>
                <w:rFonts w:ascii="Times New Roman" w:hAnsi="Times New Roman" w:cs="Times New Roman"/>
                <w:sz w:val="20"/>
                <w:szCs w:val="20"/>
                <w:vertAlign w:val="subscript"/>
              </w:rPr>
              <w:t>2</w:t>
            </w:r>
            <w:r>
              <w:rPr>
                <w:rFonts w:ascii="Times New Roman" w:hAnsi="Times New Roman" w:cs="Times New Roman"/>
                <w:sz w:val="20"/>
                <w:szCs w:val="20"/>
              </w:rPr>
              <w:t xml:space="preserve"> ekvivalenta tonnas gadā**</w:t>
            </w:r>
          </w:p>
          <w:p w14:paraId="6F6F2B5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Rezultāti Austrumu pierobežā: </w:t>
            </w:r>
          </w:p>
          <w:p w14:paraId="6D66A8A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Iznākuma radītājs:</w:t>
            </w:r>
          </w:p>
          <w:p w14:paraId="60E9496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Piešķirtā kapitāla atlaide: 1 452 060 </w:t>
            </w:r>
            <w:r>
              <w:rPr>
                <w:rFonts w:ascii="Times New Roman" w:hAnsi="Times New Roman" w:cs="Times New Roman"/>
                <w:i/>
                <w:iCs/>
                <w:sz w:val="20"/>
                <w:szCs w:val="20"/>
              </w:rPr>
              <w:t>euro</w:t>
            </w:r>
          </w:p>
          <w:p w14:paraId="0EC3E78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14 projekti atbalstīti </w:t>
            </w:r>
          </w:p>
          <w:p w14:paraId="7CDA32F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Rezultāta rādītājs:</w:t>
            </w:r>
          </w:p>
          <w:p w14:paraId="2B81F713">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Aprēķinātais plānotais siltumnīcefekta gāzu emisiju ietaupījums: 674,25 CO</w:t>
            </w:r>
            <w:r>
              <w:rPr>
                <w:rFonts w:ascii="Times New Roman" w:hAnsi="Times New Roman" w:eastAsia="Times New Roman" w:cs="Times New Roman"/>
                <w:sz w:val="20"/>
                <w:szCs w:val="20"/>
                <w:vertAlign w:val="subscript"/>
              </w:rPr>
              <w:t>2</w:t>
            </w:r>
            <w:r>
              <w:rPr>
                <w:rFonts w:ascii="Times New Roman" w:hAnsi="Times New Roman" w:eastAsia="Times New Roman" w:cs="Times New Roman"/>
                <w:sz w:val="20"/>
                <w:szCs w:val="20"/>
              </w:rPr>
              <w:t xml:space="preserve"> ekvivalenta tonnas gadā</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33F05564">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EM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608ADBA">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ALTUM</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0698930">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2026.gada II ceturksnis</w:t>
            </w:r>
          </w:p>
          <w:p w14:paraId="35FD8E97">
            <w:pPr>
              <w:spacing w:after="120" w:line="240" w:lineRule="auto"/>
              <w:jc w:val="center"/>
              <w:rPr>
                <w:rFonts w:ascii="Times New Roman" w:hAnsi="Times New Roman" w:cs="Times New Roman"/>
                <w:sz w:val="20"/>
                <w:szCs w:val="20"/>
              </w:rPr>
            </w:pP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9989232">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25730D27">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80 586 000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xml:space="preserve"> </w:t>
            </w:r>
          </w:p>
          <w:p w14:paraId="12A1E92A">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Austrumu pierobežas finansējums nav izdalīts atsevišķi</w:t>
            </w:r>
          </w:p>
          <w:p w14:paraId="5B53FE69">
            <w:pPr>
              <w:spacing w:after="120" w:line="240" w:lineRule="auto"/>
              <w:rPr>
                <w:rFonts w:ascii="Times New Roman" w:hAnsi="Times New Roman" w:cs="Times New Roman"/>
                <w:sz w:val="20"/>
                <w:szCs w:val="20"/>
              </w:rPr>
            </w:pPr>
            <w:r>
              <w:rPr>
                <w:rFonts w:ascii="Times New Roman" w:hAnsi="Times New Roman" w:cs="Times New Roman"/>
                <w:i/>
                <w:iCs/>
                <w:sz w:val="20"/>
                <w:szCs w:val="20"/>
              </w:rPr>
              <w:t>(ES fondi: Atjaunošanas un noturības mehānisms)</w:t>
            </w:r>
          </w:p>
        </w:tc>
      </w:tr>
      <w:tr w14:paraId="388897BA">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25A6F6D2">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157A5CB">
            <w:pPr>
              <w:spacing w:line="240" w:lineRule="auto"/>
              <w:jc w:val="both"/>
              <w:rPr>
                <w:rFonts w:ascii="Times New Roman" w:hAnsi="Times New Roman" w:cs="Times New Roman"/>
                <w:bCs/>
                <w:sz w:val="20"/>
                <w:szCs w:val="20"/>
              </w:rPr>
            </w:pPr>
            <w:r>
              <w:rPr>
                <w:rFonts w:ascii="Times New Roman" w:hAnsi="Times New Roman" w:cs="Times New Roman" w:eastAsiaTheme="minorEastAsia"/>
                <w:sz w:val="20"/>
                <w:szCs w:val="20"/>
              </w:rPr>
              <w:t>1.2.1.1.i. investīcija "Daudzdzīvokļu māju energoefektivitātes uzlabošana un pāreja uz atjaunojamo energoresursu tehnoloģiju izmantošanu"</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269E9D7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Sniegts atbalsts energoefektivitātes pasākumu īstenošanai daudzdzīvokļu dzīvojamās mājās.</w:t>
            </w:r>
          </w:p>
          <w:p w14:paraId="6A80058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Uz 2024. gada III ceturksni saņemti 148 projekta pieteikumi, no kuriem 6 projekti atrodas Austrumu pierobežā – 3 no šiem projektiem rezervēta kapitāla atlaide 927 524,14 </w:t>
            </w:r>
            <w:r>
              <w:rPr>
                <w:rFonts w:ascii="Times New Roman" w:hAnsi="Times New Roman" w:cs="Times New Roman"/>
                <w:i/>
                <w:iCs/>
                <w:sz w:val="20"/>
                <w:szCs w:val="20"/>
              </w:rPr>
              <w:t>euro</w:t>
            </w:r>
            <w:r>
              <w:rPr>
                <w:rFonts w:ascii="Times New Roman" w:hAnsi="Times New Roman" w:cs="Times New Roman"/>
                <w:sz w:val="20"/>
                <w:szCs w:val="20"/>
              </w:rPr>
              <w:t xml:space="preserve"> apmērā un 3 projekti atrodas izskatīšanā</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72736B8">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12E73924">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Atbalstīti 0 projekti (plānoti 166)*</w:t>
            </w:r>
          </w:p>
          <w:p w14:paraId="4B87DF16">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Rezervētā kapitāla atlaide (uz 10.10.2024.), </w:t>
            </w:r>
            <w:r>
              <w:rPr>
                <w:rFonts w:ascii="Times New Roman" w:hAnsi="Times New Roman" w:eastAsia="Times New Roman" w:cs="Times New Roman"/>
                <w:i/>
                <w:iCs/>
                <w:sz w:val="20"/>
                <w:szCs w:val="20"/>
              </w:rPr>
              <w:t>euro</w:t>
            </w:r>
            <w:r>
              <w:rPr>
                <w:rFonts w:ascii="Times New Roman" w:hAnsi="Times New Roman" w:eastAsia="Times New Roman" w:cs="Times New Roman"/>
                <w:sz w:val="20"/>
                <w:szCs w:val="20"/>
              </w:rPr>
              <w:t>: 42 223 055*</w:t>
            </w:r>
          </w:p>
          <w:p w14:paraId="558591C8">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Aprēķinātais plānotais siltumnīcefekta gāzu emisiju ietaupījums: 1358 t CO</w:t>
            </w:r>
            <w:r>
              <w:rPr>
                <w:rFonts w:ascii="Times New Roman" w:hAnsi="Times New Roman" w:eastAsia="Times New Roman" w:cs="Times New Roman"/>
                <w:sz w:val="20"/>
                <w:szCs w:val="20"/>
                <w:vertAlign w:val="subscript"/>
              </w:rPr>
              <w:t>2</w:t>
            </w:r>
            <w:r>
              <w:rPr>
                <w:rFonts w:ascii="Times New Roman" w:hAnsi="Times New Roman" w:eastAsia="Times New Roman" w:cs="Times New Roman"/>
                <w:sz w:val="20"/>
                <w:szCs w:val="20"/>
              </w:rPr>
              <w:t xml:space="preserve"> ekv. gadā**</w:t>
            </w:r>
          </w:p>
          <w:p w14:paraId="7DD8FF51">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Primārās enerģijas patēriņa samazinājums daudzdzīvokļu mājās ar uzlabotu energoefektivitāti: 14 423 MWh gadā**</w:t>
            </w:r>
          </w:p>
          <w:p w14:paraId="6FDB398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30C9B60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Atbalstīti 0 projekti (plānoti 5)*</w:t>
            </w:r>
          </w:p>
          <w:p w14:paraId="4FA84A0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Rezervētā kapitāla atlaide, </w:t>
            </w:r>
            <w:r>
              <w:rPr>
                <w:rFonts w:ascii="Times New Roman" w:hAnsi="Times New Roman" w:cs="Times New Roman"/>
                <w:i/>
                <w:iCs/>
                <w:sz w:val="20"/>
                <w:szCs w:val="20"/>
              </w:rPr>
              <w:t>euro</w:t>
            </w:r>
            <w:r>
              <w:rPr>
                <w:rFonts w:ascii="Times New Roman" w:hAnsi="Times New Roman" w:cs="Times New Roman"/>
                <w:sz w:val="20"/>
                <w:szCs w:val="20"/>
              </w:rPr>
              <w:t>: 1 904 747*</w:t>
            </w:r>
          </w:p>
          <w:p w14:paraId="7F63A7C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Aprēķinātais plānotais siltumnīcefekta gāzu emisiju ietaupījums: 157,24 CO</w:t>
            </w:r>
            <w:r>
              <w:rPr>
                <w:rFonts w:ascii="Times New Roman" w:hAnsi="Times New Roman" w:cs="Times New Roman"/>
                <w:sz w:val="20"/>
                <w:szCs w:val="20"/>
                <w:vertAlign w:val="subscript"/>
              </w:rPr>
              <w:t>2</w:t>
            </w:r>
            <w:r>
              <w:rPr>
                <w:rFonts w:ascii="Times New Roman" w:hAnsi="Times New Roman" w:cs="Times New Roman"/>
                <w:sz w:val="20"/>
                <w:szCs w:val="20"/>
              </w:rPr>
              <w:t xml:space="preserve"> ekvivalenta t gadā**</w:t>
            </w:r>
          </w:p>
          <w:p w14:paraId="4C601ED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Primārās enerģijas patēriņa samazinājums daudzdzīvokļu mājās ar uzlabotu energoefektivitāti: 1 390,65 MWh gadā**</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1E8D3844">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EM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AB447B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ALTUM</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1302E77">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2026.gada II ceturksnis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89A5537">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2F0EF0F1">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57 282 000 </w:t>
            </w:r>
            <w:r>
              <w:rPr>
                <w:rFonts w:ascii="Times New Roman" w:hAnsi="Times New Roman" w:eastAsia="Times New Roman" w:cs="Times New Roman"/>
                <w:i/>
                <w:iCs/>
                <w:sz w:val="20"/>
                <w:szCs w:val="20"/>
              </w:rPr>
              <w:t>euro</w:t>
            </w:r>
          </w:p>
          <w:p w14:paraId="0F9F1A0B">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Austrumu pierobežas finansējums nav izdalīts atsevišķi</w:t>
            </w:r>
          </w:p>
          <w:p w14:paraId="10737628">
            <w:pPr>
              <w:spacing w:after="120" w:line="240" w:lineRule="auto"/>
              <w:rPr>
                <w:rFonts w:ascii="Times New Roman" w:hAnsi="Times New Roman" w:cs="Times New Roman"/>
                <w:sz w:val="20"/>
                <w:szCs w:val="20"/>
              </w:rPr>
            </w:pPr>
            <w:r>
              <w:rPr>
                <w:rFonts w:ascii="Times New Roman" w:hAnsi="Times New Roman" w:cs="Times New Roman"/>
                <w:i/>
                <w:iCs/>
                <w:sz w:val="20"/>
                <w:szCs w:val="20"/>
              </w:rPr>
              <w:t>(ES fondi: Atjaunošanas un noturības mehānisms)</w:t>
            </w:r>
          </w:p>
        </w:tc>
      </w:tr>
      <w:tr w14:paraId="72C592EA">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6B318113">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531B32E">
            <w:pPr>
              <w:spacing w:line="240" w:lineRule="auto"/>
              <w:jc w:val="both"/>
              <w:rPr>
                <w:rFonts w:ascii="Times New Roman" w:hAnsi="Times New Roman" w:cs="Times New Roman"/>
                <w:bCs/>
                <w:sz w:val="20"/>
                <w:szCs w:val="20"/>
              </w:rPr>
            </w:pPr>
            <w:r>
              <w:rPr>
                <w:rFonts w:ascii="Times New Roman" w:hAnsi="Times New Roman" w:cs="Times New Roman"/>
                <w:sz w:val="20"/>
                <w:szCs w:val="20"/>
              </w:rPr>
              <w:t>1.2.3.3. pasākums "Starta, izaugsmes aizdevumi"</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3EB3E08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Sniegt atbalstu aizdevumiem investīcijām un apgrozāmajiem līdzekļiem</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1091918">
            <w:pPr>
              <w:spacing w:after="120" w:line="256" w:lineRule="auto"/>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41289BB1">
            <w:pPr>
              <w:spacing w:after="120" w:line="256" w:lineRule="auto"/>
              <w:jc w:val="both"/>
              <w:rPr>
                <w:rFonts w:ascii="Times New Roman" w:hAnsi="Times New Roman" w:cs="Times New Roman"/>
                <w:sz w:val="20"/>
                <w:szCs w:val="20"/>
              </w:rPr>
            </w:pPr>
            <w:r>
              <w:rPr>
                <w:rFonts w:ascii="Times New Roman" w:hAnsi="Times New Roman" w:cs="Times New Roman"/>
                <w:sz w:val="20"/>
                <w:szCs w:val="20"/>
              </w:rPr>
              <w:t xml:space="preserve">Sniegts atbalsts aizdevumiem: 15 662 858 </w:t>
            </w:r>
            <w:r>
              <w:rPr>
                <w:rFonts w:ascii="Times New Roman" w:hAnsi="Times New Roman" w:cs="Times New Roman"/>
                <w:i/>
                <w:iCs/>
                <w:sz w:val="20"/>
                <w:szCs w:val="20"/>
              </w:rPr>
              <w:t>euro</w:t>
            </w:r>
            <w:r>
              <w:rPr>
                <w:rFonts w:ascii="Times New Roman" w:hAnsi="Times New Roman" w:cs="Times New Roman"/>
                <w:sz w:val="20"/>
                <w:szCs w:val="20"/>
              </w:rPr>
              <w:t>*</w:t>
            </w:r>
          </w:p>
          <w:p w14:paraId="75147B0B">
            <w:pPr>
              <w:spacing w:after="120" w:line="256" w:lineRule="auto"/>
              <w:jc w:val="both"/>
              <w:rPr>
                <w:rFonts w:ascii="Times New Roman" w:hAnsi="Times New Roman" w:cs="Times New Roman"/>
                <w:sz w:val="20"/>
                <w:szCs w:val="20"/>
              </w:rPr>
            </w:pPr>
            <w:r>
              <w:rPr>
                <w:rFonts w:ascii="Times New Roman" w:hAnsi="Times New Roman" w:cs="Times New Roman"/>
                <w:sz w:val="20"/>
                <w:szCs w:val="20"/>
              </w:rPr>
              <w:t>Atbalstīti 247 uzņēmumi**</w:t>
            </w:r>
          </w:p>
          <w:p w14:paraId="269A129D">
            <w:pPr>
              <w:spacing w:after="120" w:line="256" w:lineRule="auto"/>
              <w:jc w:val="both"/>
              <w:rPr>
                <w:rFonts w:ascii="Times New Roman" w:hAnsi="Times New Roman" w:cs="Times New Roman"/>
                <w:sz w:val="20"/>
                <w:szCs w:val="20"/>
              </w:rPr>
            </w:pPr>
            <w:r>
              <w:rPr>
                <w:rFonts w:ascii="Times New Roman" w:hAnsi="Times New Roman" w:cs="Times New Roman"/>
                <w:sz w:val="20"/>
                <w:szCs w:val="20"/>
              </w:rPr>
              <w:t>Atbalstīti 90 jaunuzņēmumi**</w:t>
            </w:r>
          </w:p>
          <w:p w14:paraId="2205911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40F64CD8">
            <w:pPr>
              <w:spacing w:after="120" w:line="256" w:lineRule="auto"/>
              <w:jc w:val="both"/>
              <w:rPr>
                <w:rFonts w:ascii="Times New Roman" w:hAnsi="Times New Roman" w:cs="Times New Roman"/>
                <w:sz w:val="20"/>
                <w:szCs w:val="20"/>
              </w:rPr>
            </w:pPr>
            <w:r>
              <w:rPr>
                <w:rFonts w:ascii="Times New Roman" w:hAnsi="Times New Roman" w:cs="Times New Roman"/>
                <w:sz w:val="20"/>
                <w:szCs w:val="20"/>
              </w:rPr>
              <w:t xml:space="preserve">Sniegts atbalsts aizdevumiem: 669 000 </w:t>
            </w:r>
            <w:r>
              <w:rPr>
                <w:rFonts w:ascii="Times New Roman" w:hAnsi="Times New Roman" w:cs="Times New Roman"/>
                <w:i/>
                <w:iCs/>
                <w:sz w:val="20"/>
                <w:szCs w:val="20"/>
              </w:rPr>
              <w:t>euro</w:t>
            </w:r>
            <w:r>
              <w:rPr>
                <w:rFonts w:ascii="Times New Roman" w:hAnsi="Times New Roman" w:cs="Times New Roman"/>
                <w:sz w:val="20"/>
                <w:szCs w:val="20"/>
              </w:rPr>
              <w:t>*</w:t>
            </w:r>
          </w:p>
          <w:p w14:paraId="4F19AF87">
            <w:pPr>
              <w:spacing w:after="120" w:line="256" w:lineRule="auto"/>
              <w:jc w:val="both"/>
              <w:rPr>
                <w:rFonts w:ascii="Times New Roman" w:hAnsi="Times New Roman" w:cs="Times New Roman"/>
                <w:sz w:val="20"/>
                <w:szCs w:val="20"/>
              </w:rPr>
            </w:pPr>
            <w:r>
              <w:rPr>
                <w:rFonts w:ascii="Times New Roman" w:hAnsi="Times New Roman" w:cs="Times New Roman"/>
                <w:sz w:val="20"/>
                <w:szCs w:val="20"/>
              </w:rPr>
              <w:t>Atbalstīti 20 uzņēmumi**</w:t>
            </w:r>
          </w:p>
          <w:p w14:paraId="15B95557">
            <w:pPr>
              <w:spacing w:after="120" w:line="256" w:lineRule="auto"/>
              <w:jc w:val="both"/>
              <w:rPr>
                <w:rFonts w:ascii="Times New Roman" w:hAnsi="Times New Roman" w:cs="Times New Roman"/>
                <w:sz w:val="20"/>
                <w:szCs w:val="20"/>
              </w:rPr>
            </w:pPr>
            <w:r>
              <w:rPr>
                <w:rFonts w:ascii="Times New Roman" w:hAnsi="Times New Roman" w:cs="Times New Roman"/>
                <w:sz w:val="20"/>
                <w:szCs w:val="20"/>
              </w:rPr>
              <w:t>Atbalstīti 7 jaunuzņēmumi**</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020BAA39">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EM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48E085A">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ALTUM</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7E32EA7">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31.12.2029.</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691B0A9">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Kopējais finansējums visā Latvijā: </w:t>
            </w:r>
          </w:p>
          <w:p w14:paraId="3E14E9DD">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15 662 858 </w:t>
            </w:r>
            <w:r>
              <w:rPr>
                <w:rFonts w:ascii="Times New Roman" w:hAnsi="Times New Roman" w:cs="Times New Roman"/>
                <w:i/>
                <w:iCs/>
                <w:sz w:val="20"/>
                <w:szCs w:val="20"/>
              </w:rPr>
              <w:t>euro</w:t>
            </w:r>
          </w:p>
          <w:p w14:paraId="7BE0A8E6">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Austrumu pierobežā: </w:t>
            </w:r>
          </w:p>
          <w:p w14:paraId="31DD8F9E">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669 000 </w:t>
            </w:r>
            <w:r>
              <w:rPr>
                <w:rFonts w:ascii="Times New Roman" w:hAnsi="Times New Roman" w:cs="Times New Roman"/>
                <w:i/>
                <w:iCs/>
                <w:sz w:val="20"/>
                <w:szCs w:val="20"/>
              </w:rPr>
              <w:t>euro</w:t>
            </w:r>
          </w:p>
          <w:p w14:paraId="518191DC">
            <w:pPr>
              <w:spacing w:after="120" w:line="240" w:lineRule="auto"/>
              <w:rPr>
                <w:rFonts w:ascii="Times New Roman" w:hAnsi="Times New Roman" w:cs="Times New Roman"/>
                <w:sz w:val="20"/>
                <w:szCs w:val="20"/>
              </w:rPr>
            </w:pPr>
            <w:r>
              <w:rPr>
                <w:rFonts w:ascii="Times New Roman" w:hAnsi="Times New Roman" w:cs="Times New Roman"/>
                <w:i/>
                <w:iCs/>
                <w:sz w:val="20"/>
                <w:szCs w:val="20"/>
              </w:rPr>
              <w:t xml:space="preserve">(ES fondi: </w:t>
            </w:r>
            <w:r>
              <w:rPr>
                <w:rFonts w:ascii="Times New Roman" w:hAnsi="Times New Roman" w:eastAsia="Times New Roman" w:cs="Times New Roman"/>
                <w:i/>
                <w:iCs/>
                <w:sz w:val="20"/>
                <w:szCs w:val="20"/>
              </w:rPr>
              <w:t>Eiropas Savienības kohēzijas politikas programma 2021.–2027. gadam</w:t>
            </w:r>
            <w:r>
              <w:rPr>
                <w:rFonts w:ascii="Times New Roman" w:hAnsi="Times New Roman" w:cs="Times New Roman"/>
                <w:i/>
                <w:iCs/>
                <w:sz w:val="20"/>
                <w:szCs w:val="20"/>
              </w:rPr>
              <w:t>)</w:t>
            </w:r>
          </w:p>
        </w:tc>
      </w:tr>
      <w:tr w14:paraId="10F09E45">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50765392">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670DD88">
            <w:pPr>
              <w:spacing w:line="240" w:lineRule="auto"/>
              <w:jc w:val="both"/>
              <w:rPr>
                <w:rFonts w:ascii="Times New Roman" w:hAnsi="Times New Roman" w:cs="Times New Roman"/>
                <w:bCs/>
                <w:sz w:val="20"/>
                <w:szCs w:val="20"/>
              </w:rPr>
            </w:pPr>
            <w:r>
              <w:rPr>
                <w:rFonts w:ascii="Times New Roman" w:hAnsi="Times New Roman" w:cs="Times New Roman"/>
                <w:sz w:val="20"/>
                <w:szCs w:val="20"/>
              </w:rPr>
              <w:t>1.2.3.1.pasākums "Atbalsts MVU"</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5FA40FA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Kopumā nodrošinātas LIAA 22 pārstāvniecības, t.sk., Rēzeknē, Daugavpilī, Alūksnē. Visās pārstāvniecībās līdz šim uzņemti 96 komersanti, kas saņems biznesa inkubācijas pakalpojumus.</w:t>
            </w:r>
          </w:p>
          <w:p w14:paraId="33F9C64C">
            <w:pPr>
              <w:spacing w:after="120" w:line="240" w:lineRule="auto"/>
              <w:jc w:val="both"/>
              <w:rPr>
                <w:rFonts w:ascii="Times New Roman" w:hAnsi="Times New Roman" w:cs="Times New Roman"/>
                <w:sz w:val="20"/>
                <w:szCs w:val="20"/>
              </w:rPr>
            </w:pPr>
          </w:p>
          <w:p w14:paraId="12EF8DE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Eksporta veicināšanas aktivitātē atbalstīti 200 komersanti, no tiem 181 ar grantiem. </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313DEA2">
            <w:pPr>
              <w:spacing w:after="120" w:line="240" w:lineRule="auto"/>
              <w:jc w:val="both"/>
              <w:rPr>
                <w:rFonts w:ascii="Times New Roman" w:hAnsi="Times New Roman" w:cs="Times New Roman"/>
                <w:sz w:val="20"/>
                <w:szCs w:val="20"/>
                <w:lang w:eastAsia="lv-LV"/>
                <w14:ligatures w14:val="none"/>
              </w:rPr>
            </w:pPr>
            <w:r>
              <w:rPr>
                <w:rFonts w:ascii="Times New Roman" w:hAnsi="Times New Roman" w:cs="Times New Roman"/>
                <w:sz w:val="20"/>
                <w:szCs w:val="20"/>
                <w:lang w:eastAsia="lv-LV"/>
                <w14:ligatures w14:val="none"/>
              </w:rPr>
              <w:t>Rezultāti visā Latvijā:</w:t>
            </w:r>
          </w:p>
          <w:p w14:paraId="5B1CEB88">
            <w:pPr>
              <w:spacing w:after="120" w:line="240" w:lineRule="auto"/>
              <w:jc w:val="both"/>
              <w:rPr>
                <w:rFonts w:ascii="Times New Roman" w:hAnsi="Times New Roman" w:cs="Times New Roman"/>
                <w:sz w:val="20"/>
                <w:szCs w:val="20"/>
                <w:lang w:eastAsia="lv-LV"/>
                <w14:ligatures w14:val="none"/>
              </w:rPr>
            </w:pPr>
            <w:r>
              <w:rPr>
                <w:rFonts w:ascii="Times New Roman" w:hAnsi="Times New Roman" w:cs="Times New Roman"/>
                <w:sz w:val="20"/>
                <w:szCs w:val="20"/>
                <w:lang w:eastAsia="lv-LV"/>
                <w14:ligatures w14:val="none"/>
              </w:rPr>
              <w:t>Ar grantiem atbalstītie uzņēmumi – 353 uzņēmumi*</w:t>
            </w:r>
          </w:p>
          <w:p w14:paraId="7F84B584">
            <w:pPr>
              <w:spacing w:after="120" w:line="240" w:lineRule="auto"/>
              <w:jc w:val="both"/>
              <w:rPr>
                <w:rFonts w:ascii="Times New Roman" w:hAnsi="Times New Roman" w:cs="Times New Roman"/>
                <w:sz w:val="20"/>
                <w:szCs w:val="20"/>
                <w:lang w:eastAsia="lv-LV"/>
                <w14:ligatures w14:val="none"/>
              </w:rPr>
            </w:pPr>
            <w:r>
              <w:rPr>
                <w:rFonts w:ascii="Times New Roman" w:hAnsi="Times New Roman" w:cs="Times New Roman"/>
                <w:sz w:val="20"/>
                <w:szCs w:val="20"/>
                <w:lang w:eastAsia="lv-LV"/>
                <w14:ligatures w14:val="none"/>
              </w:rPr>
              <w:t>Nefinansiālu atbalstu saņēmušie uzņēmumi – 591 uzņēmumi*</w:t>
            </w:r>
          </w:p>
          <w:p w14:paraId="2134857C">
            <w:pPr>
              <w:spacing w:after="120" w:line="240" w:lineRule="auto"/>
              <w:jc w:val="both"/>
              <w:rPr>
                <w:rFonts w:ascii="Times New Roman" w:hAnsi="Times New Roman" w:cs="Times New Roman"/>
                <w:sz w:val="20"/>
                <w:szCs w:val="20"/>
                <w:lang w:eastAsia="lv-LV"/>
                <w14:ligatures w14:val="none"/>
              </w:rPr>
            </w:pPr>
            <w:r>
              <w:rPr>
                <w:rFonts w:ascii="Times New Roman" w:hAnsi="Times New Roman" w:cs="Times New Roman"/>
                <w:sz w:val="20"/>
                <w:szCs w:val="20"/>
                <w:lang w:eastAsia="lv-LV"/>
                <w14:ligatures w14:val="none"/>
              </w:rPr>
              <w:t>Atbalstītie jaunie uzņēmumi – 209 uzņēmumi*</w:t>
            </w:r>
          </w:p>
          <w:p w14:paraId="76F1BBB0">
            <w:pPr>
              <w:spacing w:after="120" w:line="240" w:lineRule="auto"/>
              <w:jc w:val="both"/>
              <w:rPr>
                <w:rFonts w:ascii="Times New Roman" w:hAnsi="Times New Roman" w:cs="Times New Roman"/>
                <w:sz w:val="20"/>
                <w:szCs w:val="20"/>
                <w:lang w:eastAsia="lv-LV"/>
                <w14:ligatures w14:val="none"/>
              </w:rPr>
            </w:pPr>
            <w:r>
              <w:rPr>
                <w:rFonts w:ascii="Times New Roman" w:hAnsi="Times New Roman" w:cs="Times New Roman"/>
                <w:sz w:val="20"/>
                <w:szCs w:val="20"/>
                <w:lang w:eastAsia="lv-LV"/>
                <w14:ligatures w14:val="none"/>
              </w:rPr>
              <w:t>Radītā inkubācijas kapacitāte – 488 (pirmsinkubācijā un inkubācijā atbalstīto uzņēmumu skaits)*</w:t>
            </w:r>
          </w:p>
          <w:p w14:paraId="715CD9A3">
            <w:pPr>
              <w:spacing w:after="120" w:line="240" w:lineRule="auto"/>
              <w:jc w:val="both"/>
              <w:rPr>
                <w:rFonts w:ascii="Times New Roman" w:hAnsi="Times New Roman" w:cs="Times New Roman"/>
                <w:sz w:val="20"/>
                <w:szCs w:val="20"/>
              </w:rPr>
            </w:pPr>
            <w:r>
              <w:rPr>
                <w:rFonts w:ascii="Times New Roman" w:hAnsi="Times New Roman" w:cs="Times New Roman"/>
                <w:sz w:val="20"/>
                <w:szCs w:val="20"/>
                <w:lang w:eastAsia="lv-LV"/>
                <w14:ligatures w14:val="none"/>
              </w:rPr>
              <w:t>Jaunradīto darba vietu skaits atbalstītajos uzņēmumos – 1000 pilnslodzes ekvivalenti**</w:t>
            </w:r>
          </w:p>
          <w:p w14:paraId="2C6630ED">
            <w:pPr>
              <w:spacing w:after="120" w:line="240" w:lineRule="auto"/>
              <w:jc w:val="both"/>
              <w:rPr>
                <w:rFonts w:ascii="Times New Roman" w:hAnsi="Times New Roman" w:cs="Times New Roman"/>
                <w:sz w:val="20"/>
                <w:szCs w:val="20"/>
              </w:rPr>
            </w:pPr>
            <w:r>
              <w:rPr>
                <w:rFonts w:ascii="Times New Roman" w:hAnsi="Times New Roman" w:cs="Times New Roman"/>
                <w:sz w:val="20"/>
                <w:szCs w:val="20"/>
                <w:lang w:eastAsia="lv-LV"/>
                <w14:ligatures w14:val="none"/>
              </w:rPr>
              <w:t>Jauni uzņēmumi, kas joprojām darbojas tirgū, – 209 uzņēmumi**</w:t>
            </w:r>
          </w:p>
          <w:p w14:paraId="36025961">
            <w:pPr>
              <w:spacing w:after="120" w:line="240" w:lineRule="auto"/>
              <w:jc w:val="both"/>
              <w:rPr>
                <w:rFonts w:ascii="Times New Roman" w:hAnsi="Times New Roman" w:cs="Times New Roman"/>
                <w:sz w:val="20"/>
                <w:szCs w:val="20"/>
                <w:lang w:eastAsia="lv-LV"/>
                <w14:ligatures w14:val="none"/>
              </w:rPr>
            </w:pPr>
            <w:r>
              <w:rPr>
                <w:rFonts w:ascii="Times New Roman" w:hAnsi="Times New Roman" w:cs="Times New Roman"/>
                <w:sz w:val="20"/>
                <w:szCs w:val="20"/>
                <w:lang w:eastAsia="lv-LV"/>
                <w14:ligatures w14:val="none"/>
              </w:rPr>
              <w:t>Rezultāti Austrumu pierobežā:</w:t>
            </w:r>
          </w:p>
          <w:p w14:paraId="799F0AB3">
            <w:pPr>
              <w:spacing w:after="120" w:line="240" w:lineRule="auto"/>
              <w:jc w:val="both"/>
              <w:rPr>
                <w:rFonts w:ascii="Times New Roman" w:hAnsi="Times New Roman" w:cs="Times New Roman"/>
                <w:sz w:val="20"/>
                <w:szCs w:val="20"/>
                <w:lang w:eastAsia="lv-LV"/>
                <w14:ligatures w14:val="none"/>
              </w:rPr>
            </w:pPr>
            <w:r>
              <w:rPr>
                <w:rFonts w:ascii="Times New Roman" w:hAnsi="Times New Roman" w:cs="Times New Roman"/>
                <w:sz w:val="20"/>
                <w:szCs w:val="20"/>
                <w:lang w:eastAsia="lv-LV"/>
                <w14:ligatures w14:val="none"/>
              </w:rPr>
              <w:t>Ar grantiem atbalstītie uzņēmumi – 185 uzņēmumi*</w:t>
            </w:r>
          </w:p>
          <w:p w14:paraId="656A7D52">
            <w:pPr>
              <w:spacing w:after="120" w:line="240" w:lineRule="auto"/>
              <w:jc w:val="both"/>
              <w:rPr>
                <w:rFonts w:ascii="Times New Roman" w:hAnsi="Times New Roman" w:cs="Times New Roman"/>
                <w:sz w:val="20"/>
                <w:szCs w:val="20"/>
                <w:lang w:eastAsia="lv-LV"/>
                <w14:ligatures w14:val="none"/>
              </w:rPr>
            </w:pPr>
            <w:r>
              <w:rPr>
                <w:rFonts w:ascii="Times New Roman" w:hAnsi="Times New Roman" w:cs="Times New Roman"/>
                <w:sz w:val="20"/>
                <w:szCs w:val="20"/>
                <w:lang w:eastAsia="lv-LV"/>
                <w14:ligatures w14:val="none"/>
              </w:rPr>
              <w:t>Nefinansiālu atbalstu saņēmušie uzņēmumi – 167 uzņēmumi*</w:t>
            </w:r>
          </w:p>
          <w:p w14:paraId="41569C37">
            <w:pPr>
              <w:spacing w:after="120" w:line="240" w:lineRule="auto"/>
              <w:jc w:val="both"/>
              <w:rPr>
                <w:rFonts w:ascii="Times New Roman" w:hAnsi="Times New Roman" w:cs="Times New Roman"/>
                <w:sz w:val="20"/>
                <w:szCs w:val="20"/>
                <w:lang w:eastAsia="lv-LV"/>
                <w14:ligatures w14:val="none"/>
              </w:rPr>
            </w:pPr>
            <w:r>
              <w:rPr>
                <w:rFonts w:ascii="Times New Roman" w:hAnsi="Times New Roman" w:cs="Times New Roman"/>
                <w:sz w:val="20"/>
                <w:szCs w:val="20"/>
                <w:lang w:eastAsia="lv-LV"/>
                <w14:ligatures w14:val="none"/>
              </w:rPr>
              <w:t>Atbalstītie jaunie uzņēmumi – 50 uzņēmumi*</w:t>
            </w:r>
          </w:p>
          <w:p w14:paraId="32B3B343">
            <w:pPr>
              <w:spacing w:after="120" w:line="240" w:lineRule="auto"/>
              <w:jc w:val="both"/>
              <w:rPr>
                <w:rFonts w:ascii="Times New Roman" w:hAnsi="Times New Roman" w:cs="Times New Roman"/>
                <w:sz w:val="20"/>
                <w:szCs w:val="20"/>
                <w:lang w:eastAsia="lv-LV"/>
                <w14:ligatures w14:val="none"/>
              </w:rPr>
            </w:pPr>
            <w:r>
              <w:rPr>
                <w:rFonts w:ascii="Times New Roman" w:hAnsi="Times New Roman" w:cs="Times New Roman"/>
                <w:sz w:val="20"/>
                <w:szCs w:val="20"/>
                <w:lang w:eastAsia="lv-LV"/>
                <w14:ligatures w14:val="none"/>
              </w:rPr>
              <w:t>Radītā inkubācijas kapacitāte – 70 (pirmsinkubācijā un inkubācijā atbalstīto uzņēmumu skaits)*</w:t>
            </w:r>
          </w:p>
          <w:p w14:paraId="18CA0637">
            <w:pPr>
              <w:spacing w:after="120" w:line="240" w:lineRule="auto"/>
              <w:jc w:val="both"/>
              <w:rPr>
                <w:rFonts w:ascii="Times New Roman" w:hAnsi="Times New Roman" w:cs="Times New Roman"/>
                <w:sz w:val="20"/>
                <w:szCs w:val="20"/>
              </w:rPr>
            </w:pPr>
            <w:r>
              <w:rPr>
                <w:rFonts w:ascii="Times New Roman" w:hAnsi="Times New Roman" w:cs="Times New Roman"/>
                <w:sz w:val="20"/>
                <w:szCs w:val="20"/>
                <w:lang w:eastAsia="lv-LV"/>
                <w14:ligatures w14:val="none"/>
              </w:rPr>
              <w:t>Jaunradīto darba vietu skaits atbalstītajos uzņēmumos – 100 pilnslodzes ekvivalenti**</w:t>
            </w:r>
          </w:p>
          <w:p w14:paraId="0B2405E1">
            <w:pPr>
              <w:spacing w:after="120" w:line="240" w:lineRule="auto"/>
              <w:jc w:val="both"/>
              <w:rPr>
                <w:rFonts w:ascii="Times New Roman" w:hAnsi="Times New Roman" w:cs="Times New Roman"/>
                <w:sz w:val="20"/>
                <w:szCs w:val="20"/>
              </w:rPr>
            </w:pPr>
            <w:r>
              <w:rPr>
                <w:rFonts w:ascii="Times New Roman" w:hAnsi="Times New Roman" w:cs="Times New Roman"/>
                <w:sz w:val="20"/>
                <w:szCs w:val="20"/>
                <w:lang w:eastAsia="lv-LV"/>
                <w14:ligatures w14:val="none"/>
              </w:rPr>
              <w:t>Jauni uzņēmumi, kas joprojām darbojas tirgū, – 50 uzņēmumi**</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0002413D">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EM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18D72FC">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LIAA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A8125BB">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31.12.2029.</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B8BE22D">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0FFD606F">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87 249 026  </w:t>
            </w:r>
            <w:r>
              <w:rPr>
                <w:rFonts w:ascii="Times New Roman" w:hAnsi="Times New Roman" w:eastAsia="Times New Roman" w:cs="Times New Roman"/>
                <w:i/>
                <w:iCs/>
                <w:sz w:val="20"/>
                <w:szCs w:val="20"/>
              </w:rPr>
              <w:t>euro</w:t>
            </w:r>
          </w:p>
          <w:p w14:paraId="56BC4EA1">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Austrumu pierobežā: </w:t>
            </w:r>
          </w:p>
          <w:p w14:paraId="001590FC">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7 447 290 </w:t>
            </w:r>
            <w:r>
              <w:rPr>
                <w:rFonts w:ascii="Times New Roman" w:hAnsi="Times New Roman" w:eastAsia="Times New Roman" w:cs="Times New Roman"/>
                <w:i/>
                <w:iCs/>
                <w:sz w:val="20"/>
                <w:szCs w:val="20"/>
              </w:rPr>
              <w:t>euro</w:t>
            </w:r>
          </w:p>
          <w:p w14:paraId="27916C33">
            <w:pPr>
              <w:spacing w:after="120" w:line="240" w:lineRule="auto"/>
              <w:rPr>
                <w:rFonts w:ascii="Times New Roman" w:hAnsi="Times New Roman" w:cs="Times New Roman"/>
                <w:sz w:val="20"/>
                <w:szCs w:val="20"/>
              </w:rPr>
            </w:pPr>
            <w:r>
              <w:rPr>
                <w:rFonts w:ascii="Times New Roman" w:hAnsi="Times New Roman" w:cs="Times New Roman"/>
                <w:i/>
                <w:iCs/>
                <w:sz w:val="20"/>
                <w:szCs w:val="20"/>
              </w:rPr>
              <w:t xml:space="preserve">(ES fondi: </w:t>
            </w:r>
            <w:r>
              <w:rPr>
                <w:rFonts w:ascii="Times New Roman" w:hAnsi="Times New Roman" w:eastAsia="Times New Roman" w:cs="Times New Roman"/>
                <w:i/>
                <w:iCs/>
                <w:sz w:val="20"/>
                <w:szCs w:val="20"/>
              </w:rPr>
              <w:t>Eiropas Savienības kohēzijas politikas programma 2021.–2027. gadam</w:t>
            </w:r>
            <w:r>
              <w:rPr>
                <w:rFonts w:ascii="Times New Roman" w:hAnsi="Times New Roman" w:cs="Times New Roman"/>
                <w:i/>
                <w:iCs/>
                <w:sz w:val="20"/>
                <w:szCs w:val="20"/>
              </w:rPr>
              <w:t>)</w:t>
            </w:r>
          </w:p>
        </w:tc>
      </w:tr>
      <w:tr w14:paraId="5BB571DF">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6350DB88">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002D8EF">
            <w:pPr>
              <w:spacing w:line="240" w:lineRule="auto"/>
              <w:jc w:val="both"/>
              <w:rPr>
                <w:rFonts w:ascii="Times New Roman" w:hAnsi="Times New Roman" w:cs="Times New Roman"/>
                <w:sz w:val="20"/>
                <w:szCs w:val="20"/>
              </w:rPr>
            </w:pPr>
            <w:r>
              <w:rPr>
                <w:rFonts w:ascii="Times New Roman" w:hAnsi="Times New Roman" w:cs="Times New Roman"/>
                <w:sz w:val="20"/>
                <w:szCs w:val="20"/>
              </w:rPr>
              <w:t>Atbalsts par apsaimniekotajiem hektāriem jeb platībmaksājums:  ilgtspēju sekmējošam ienākumu pamatatbalstam novados ar īpašiem apstākļiem</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78490B3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Sniegts ilgtspēju sekmējošs ienākumu pamatatbalsts novados ar īpašiem apstākļiem  </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D8BD2D4">
            <w:pPr>
              <w:spacing w:after="120"/>
              <w:jc w:val="both"/>
              <w:rPr>
                <w:rFonts w:ascii="Times New Roman" w:hAnsi="Times New Roman" w:cs="Times New Roman"/>
                <w:sz w:val="20"/>
                <w:szCs w:val="20"/>
              </w:rPr>
            </w:pPr>
            <w:r>
              <w:rPr>
                <w:rFonts w:ascii="Times New Roman" w:hAnsi="Times New Roman" w:cs="Times New Roman"/>
                <w:sz w:val="20"/>
                <w:szCs w:val="20"/>
              </w:rPr>
              <w:t xml:space="preserve">Rezultāti visā Latvijā: </w:t>
            </w:r>
          </w:p>
          <w:p w14:paraId="322AC7F1">
            <w:pPr>
              <w:spacing w:after="120"/>
              <w:jc w:val="both"/>
              <w:rPr>
                <w:rFonts w:ascii="Times New Roman" w:hAnsi="Times New Roman" w:cs="Times New Roman"/>
                <w:sz w:val="20"/>
                <w:szCs w:val="20"/>
              </w:rPr>
            </w:pPr>
            <w:r>
              <w:rPr>
                <w:rFonts w:ascii="Times New Roman" w:hAnsi="Times New Roman" w:cs="Times New Roman"/>
                <w:sz w:val="20"/>
                <w:szCs w:val="20"/>
              </w:rPr>
              <w:t xml:space="preserve">Atbalstītā platība 599 tūkst. ha* </w:t>
            </w:r>
          </w:p>
          <w:p w14:paraId="311F52DD">
            <w:pPr>
              <w:spacing w:after="120"/>
              <w:jc w:val="both"/>
              <w:rPr>
                <w:rFonts w:ascii="Times New Roman" w:hAnsi="Times New Roman" w:cs="Times New Roman"/>
                <w:sz w:val="20"/>
                <w:szCs w:val="20"/>
              </w:rPr>
            </w:pPr>
            <w:r>
              <w:rPr>
                <w:rFonts w:ascii="Times New Roman" w:hAnsi="Times New Roman" w:cs="Times New Roman"/>
                <w:sz w:val="20"/>
                <w:szCs w:val="20"/>
              </w:rPr>
              <w:t>Atbalstīto saimniecību skaits vairāk kā 30 tūkst.**</w:t>
            </w:r>
          </w:p>
          <w:p w14:paraId="123033AC">
            <w:pPr>
              <w:spacing w:after="120"/>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19BAC294">
            <w:pPr>
              <w:spacing w:after="120"/>
              <w:jc w:val="both"/>
              <w:rPr>
                <w:rFonts w:ascii="Times New Roman" w:hAnsi="Times New Roman" w:cs="Times New Roman"/>
                <w:sz w:val="20"/>
                <w:szCs w:val="20"/>
              </w:rPr>
            </w:pPr>
            <w:r>
              <w:rPr>
                <w:rFonts w:ascii="Times New Roman" w:hAnsi="Times New Roman" w:cs="Times New Roman"/>
                <w:sz w:val="20"/>
                <w:szCs w:val="20"/>
              </w:rPr>
              <w:t>Atbalstītā platība 337 tūkst. ha*</w:t>
            </w:r>
          </w:p>
          <w:p w14:paraId="253FEDE9">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Atbalstīto saimniecību skaits vairāk kā 10 tūkst.**</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2096CEA6">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ZM </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482895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LAD </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EDB18E2">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31.12.2027. </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CD8EC13">
            <w:pPr>
              <w:spacing w:after="120"/>
              <w:rPr>
                <w:rFonts w:ascii="Times New Roman" w:hAnsi="Times New Roman" w:cs="Times New Roman"/>
                <w:sz w:val="20"/>
                <w:szCs w:val="20"/>
              </w:rPr>
            </w:pPr>
            <w:r>
              <w:rPr>
                <w:rFonts w:ascii="Times New Roman" w:hAnsi="Times New Roman" w:cs="Times New Roman"/>
                <w:sz w:val="20"/>
                <w:szCs w:val="20"/>
              </w:rPr>
              <w:t xml:space="preserve">Kopējais indikatīvais finansējums visā Latvijā 2025.-2027.gadā: </w:t>
            </w:r>
          </w:p>
          <w:p w14:paraId="18E56EF8">
            <w:pPr>
              <w:spacing w:after="120"/>
              <w:rPr>
                <w:rFonts w:ascii="Times New Roman" w:hAnsi="Times New Roman" w:cs="Times New Roman"/>
                <w:sz w:val="20"/>
                <w:szCs w:val="20"/>
              </w:rPr>
            </w:pPr>
            <w:r>
              <w:rPr>
                <w:rFonts w:ascii="Times New Roman" w:hAnsi="Times New Roman" w:cs="Times New Roman"/>
                <w:sz w:val="20"/>
                <w:szCs w:val="20"/>
              </w:rPr>
              <w:t xml:space="preserve">189 000 000 </w:t>
            </w:r>
            <w:r>
              <w:rPr>
                <w:rFonts w:ascii="Times New Roman" w:hAnsi="Times New Roman" w:cs="Times New Roman"/>
                <w:i/>
                <w:iCs/>
                <w:sz w:val="20"/>
                <w:szCs w:val="20"/>
              </w:rPr>
              <w:t>euro</w:t>
            </w:r>
            <w:r>
              <w:rPr>
                <w:rFonts w:ascii="Times New Roman" w:hAnsi="Times New Roman" w:cs="Times New Roman"/>
                <w:sz w:val="20"/>
                <w:szCs w:val="20"/>
              </w:rPr>
              <w:t xml:space="preserve"> (100% ES finansējums) </w:t>
            </w:r>
          </w:p>
          <w:p w14:paraId="34DEE04F">
            <w:pPr>
              <w:spacing w:after="120"/>
              <w:rPr>
                <w:rFonts w:ascii="Times New Roman" w:hAnsi="Times New Roman" w:cs="Times New Roman"/>
                <w:sz w:val="20"/>
                <w:szCs w:val="20"/>
              </w:rPr>
            </w:pPr>
            <w:r>
              <w:rPr>
                <w:rFonts w:ascii="Times New Roman" w:hAnsi="Times New Roman" w:cs="Times New Roman"/>
                <w:sz w:val="20"/>
                <w:szCs w:val="20"/>
              </w:rPr>
              <w:t xml:space="preserve">Indikatīvais finansējums Austrumu pierobežā 2025.-2027.gadā: </w:t>
            </w:r>
          </w:p>
          <w:p w14:paraId="655003B9">
            <w:pPr>
              <w:spacing w:after="120"/>
              <w:rPr>
                <w:rFonts w:ascii="Times New Roman" w:hAnsi="Times New Roman" w:cs="Times New Roman"/>
                <w:sz w:val="20"/>
                <w:szCs w:val="20"/>
              </w:rPr>
            </w:pPr>
            <w:r>
              <w:rPr>
                <w:rFonts w:ascii="Times New Roman" w:hAnsi="Times New Roman" w:cs="Times New Roman"/>
                <w:sz w:val="20"/>
                <w:szCs w:val="20"/>
              </w:rPr>
              <w:t xml:space="preserve">101 500 000 EUR </w:t>
            </w:r>
          </w:p>
          <w:p w14:paraId="265666E0">
            <w:pPr>
              <w:spacing w:after="120"/>
              <w:rPr>
                <w:rFonts w:ascii="Times New Roman" w:hAnsi="Times New Roman" w:cs="Times New Roman"/>
                <w:i/>
                <w:sz w:val="20"/>
                <w:szCs w:val="20"/>
              </w:rPr>
            </w:pPr>
            <w:r>
              <w:rPr>
                <w:rFonts w:ascii="Times New Roman" w:hAnsi="Times New Roman" w:cs="Times New Roman"/>
                <w:i/>
                <w:iCs/>
                <w:sz w:val="20"/>
                <w:szCs w:val="20"/>
              </w:rPr>
              <w:t xml:space="preserve">(ES fondi: ELGF) </w:t>
            </w:r>
          </w:p>
        </w:tc>
      </w:tr>
      <w:tr w14:paraId="0B0F5771">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24FE0CA5">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137CCF0">
            <w:pPr>
              <w:spacing w:line="240" w:lineRule="auto"/>
              <w:jc w:val="both"/>
              <w:rPr>
                <w:rFonts w:ascii="Times New Roman" w:hAnsi="Times New Roman" w:cs="Times New Roman"/>
                <w:bCs/>
                <w:sz w:val="20"/>
                <w:szCs w:val="20"/>
              </w:rPr>
            </w:pPr>
            <w:r>
              <w:rPr>
                <w:rFonts w:ascii="Times New Roman" w:hAnsi="Times New Roman" w:cs="Times New Roman"/>
                <w:sz w:val="20"/>
                <w:szCs w:val="20"/>
              </w:rPr>
              <w:t xml:space="preserve">Atbalsts lauksaimnieciskās darbības attīstībai, atbalstot ieguldījumus lauku saimniecībās konkurētspējas veicināšanai, mazo saimniecību attīstībai, gados jaunu lauksaimniecību dibināšanai Kopējās lauksaimniecības politikas stratēģiskā plāna 2023.-2027.gadam intervencēs (LA4.1.1.; LA5; LA6), nodrošinot finansējumu pieejamību reģionālā sadalījumā, tostarp Austrumu pierobežai </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14BDF97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Sniegts ieguldījumu atbalsts lauksaimnieciskās darbības attīstībai </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2030738">
            <w:pPr>
              <w:spacing w:after="120"/>
              <w:jc w:val="both"/>
              <w:rPr>
                <w:rFonts w:ascii="Times New Roman" w:hAnsi="Times New Roman" w:cs="Times New Roman"/>
                <w:sz w:val="20"/>
                <w:szCs w:val="20"/>
              </w:rPr>
            </w:pPr>
            <w:r>
              <w:rPr>
                <w:rFonts w:ascii="Times New Roman" w:hAnsi="Times New Roman" w:cs="Times New Roman"/>
                <w:sz w:val="20"/>
                <w:szCs w:val="20"/>
              </w:rPr>
              <w:t xml:space="preserve">Rezultāti visā Latvijā: </w:t>
            </w:r>
          </w:p>
          <w:p w14:paraId="3938AEA9">
            <w:pPr>
              <w:spacing w:after="120"/>
              <w:jc w:val="both"/>
              <w:rPr>
                <w:rFonts w:ascii="Times New Roman" w:hAnsi="Times New Roman" w:cs="Times New Roman"/>
                <w:sz w:val="20"/>
                <w:szCs w:val="20"/>
              </w:rPr>
            </w:pPr>
            <w:r>
              <w:rPr>
                <w:rFonts w:ascii="Times New Roman" w:hAnsi="Times New Roman" w:cs="Times New Roman"/>
                <w:sz w:val="20"/>
                <w:szCs w:val="20"/>
              </w:rPr>
              <w:t>Atbalstīto projektu skaits – 3300*</w:t>
            </w:r>
          </w:p>
          <w:p w14:paraId="37A4C87B">
            <w:pPr>
              <w:spacing w:after="120"/>
              <w:jc w:val="both"/>
              <w:rPr>
                <w:rFonts w:ascii="Times New Roman" w:hAnsi="Times New Roman" w:cs="Times New Roman"/>
                <w:sz w:val="20"/>
                <w:szCs w:val="20"/>
              </w:rPr>
            </w:pPr>
            <w:r>
              <w:rPr>
                <w:rFonts w:ascii="Times New Roman" w:hAnsi="Times New Roman" w:cs="Times New Roman"/>
                <w:sz w:val="20"/>
                <w:szCs w:val="20"/>
              </w:rPr>
              <w:t>Atbalstīto saimniecību skaits – 2200**</w:t>
            </w:r>
          </w:p>
          <w:p w14:paraId="2730A978">
            <w:pPr>
              <w:spacing w:after="120"/>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47ABF9BD">
            <w:pPr>
              <w:spacing w:after="120"/>
              <w:jc w:val="both"/>
              <w:rPr>
                <w:rFonts w:ascii="Times New Roman" w:hAnsi="Times New Roman" w:cs="Times New Roman"/>
                <w:sz w:val="20"/>
                <w:szCs w:val="20"/>
              </w:rPr>
            </w:pPr>
            <w:r>
              <w:rPr>
                <w:rFonts w:ascii="Times New Roman" w:hAnsi="Times New Roman" w:cs="Times New Roman"/>
                <w:sz w:val="20"/>
                <w:szCs w:val="20"/>
              </w:rPr>
              <w:t>Atbalstīto projektu skaits – 650*</w:t>
            </w:r>
          </w:p>
          <w:p w14:paraId="571821B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Atbalstīto saimniecību skaits – 570**</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53D37C38">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ZM </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3515665">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LAD </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26C49AB">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31.12.2027. </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15681D5">
            <w:pPr>
              <w:spacing w:after="120"/>
              <w:rPr>
                <w:rFonts w:ascii="Times New Roman" w:hAnsi="Times New Roman" w:cs="Times New Roman"/>
                <w:sz w:val="20"/>
                <w:szCs w:val="20"/>
              </w:rPr>
            </w:pPr>
            <w:r>
              <w:rPr>
                <w:rFonts w:ascii="Times New Roman" w:hAnsi="Times New Roman" w:cs="Times New Roman"/>
                <w:sz w:val="20"/>
                <w:szCs w:val="20"/>
              </w:rPr>
              <w:t xml:space="preserve">Kopējais finansējums visā Latvijā: </w:t>
            </w:r>
          </w:p>
          <w:p w14:paraId="0EBF9496">
            <w:pPr>
              <w:jc w:val="both"/>
              <w:rPr>
                <w:rFonts w:ascii="Times New Roman" w:hAnsi="Times New Roman" w:cs="Times New Roman"/>
                <w:sz w:val="20"/>
                <w:szCs w:val="20"/>
              </w:rPr>
            </w:pPr>
            <w:r>
              <w:rPr>
                <w:rFonts w:ascii="Times New Roman" w:hAnsi="Times New Roman" w:cs="Times New Roman"/>
                <w:sz w:val="20"/>
                <w:szCs w:val="20"/>
              </w:rPr>
              <w:t xml:space="preserve">145 194 260 </w:t>
            </w:r>
            <w:r>
              <w:rPr>
                <w:rFonts w:ascii="Times New Roman" w:hAnsi="Times New Roman" w:cs="Times New Roman"/>
                <w:i/>
                <w:iCs/>
                <w:sz w:val="20"/>
                <w:szCs w:val="20"/>
              </w:rPr>
              <w:t>euro</w:t>
            </w:r>
          </w:p>
          <w:p w14:paraId="1EC6FABF">
            <w:pPr>
              <w:jc w:val="both"/>
              <w:rPr>
                <w:rFonts w:ascii="Times New Roman" w:hAnsi="Times New Roman" w:cs="Times New Roman"/>
                <w:sz w:val="20"/>
                <w:szCs w:val="20"/>
              </w:rPr>
            </w:pPr>
            <w:r>
              <w:rPr>
                <w:rFonts w:ascii="Times New Roman" w:hAnsi="Times New Roman" w:cs="Times New Roman"/>
                <w:sz w:val="20"/>
                <w:szCs w:val="20"/>
              </w:rPr>
              <w:t xml:space="preserve">Austrumu pierobežā: </w:t>
            </w:r>
          </w:p>
          <w:p w14:paraId="528E21CA">
            <w:pPr>
              <w:jc w:val="both"/>
              <w:rPr>
                <w:rFonts w:ascii="Times New Roman" w:hAnsi="Times New Roman" w:cs="Times New Roman"/>
                <w:sz w:val="20"/>
                <w:szCs w:val="20"/>
              </w:rPr>
            </w:pPr>
            <w:r>
              <w:rPr>
                <w:rFonts w:ascii="Times New Roman" w:hAnsi="Times New Roman" w:cs="Times New Roman"/>
                <w:sz w:val="20"/>
                <w:szCs w:val="20"/>
              </w:rPr>
              <w:t xml:space="preserve">22 300 000 </w:t>
            </w:r>
            <w:r>
              <w:rPr>
                <w:rFonts w:ascii="Times New Roman" w:hAnsi="Times New Roman" w:cs="Times New Roman"/>
                <w:i/>
                <w:iCs/>
                <w:sz w:val="20"/>
                <w:szCs w:val="20"/>
              </w:rPr>
              <w:t>euro</w:t>
            </w:r>
            <w:r>
              <w:rPr>
                <w:rFonts w:ascii="Times New Roman" w:hAnsi="Times New Roman" w:cs="Times New Roman"/>
                <w:sz w:val="20"/>
                <w:szCs w:val="20"/>
              </w:rPr>
              <w:t xml:space="preserve"> </w:t>
            </w:r>
          </w:p>
          <w:p w14:paraId="5F52EB07">
            <w:pPr>
              <w:spacing w:after="120"/>
              <w:rPr>
                <w:rFonts w:ascii="Times New Roman" w:hAnsi="Times New Roman" w:cs="Times New Roman"/>
                <w:i/>
                <w:sz w:val="20"/>
                <w:szCs w:val="20"/>
              </w:rPr>
            </w:pPr>
            <w:r>
              <w:rPr>
                <w:rFonts w:ascii="Times New Roman" w:hAnsi="Times New Roman" w:cs="Times New Roman"/>
                <w:i/>
                <w:sz w:val="20"/>
                <w:szCs w:val="20"/>
              </w:rPr>
              <w:t xml:space="preserve">(ES fondi: ELFLA) </w:t>
            </w:r>
          </w:p>
        </w:tc>
      </w:tr>
      <w:tr w14:paraId="2A5126AE">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0D71CBAD">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19F6996">
            <w:pPr>
              <w:spacing w:line="240" w:lineRule="auto"/>
              <w:jc w:val="both"/>
              <w:rPr>
                <w:rFonts w:ascii="Times New Roman" w:hAnsi="Times New Roman" w:cs="Times New Roman"/>
                <w:bCs/>
                <w:sz w:val="20"/>
                <w:szCs w:val="20"/>
              </w:rPr>
            </w:pPr>
            <w:r>
              <w:rPr>
                <w:rFonts w:ascii="Times New Roman" w:hAnsi="Times New Roman" w:cs="Times New Roman"/>
                <w:sz w:val="20"/>
                <w:szCs w:val="20"/>
              </w:rPr>
              <w:t xml:space="preserve">Atbalsts nelauksaimniecības uzņēmējdarbības attīstībai, tostarp jaunu darba vietu radīšanai, atbilstoši vietējo rīcības grupu izstrādātajām stratēģijām, Kopējās lauksaimniecības politikas stratēģiskā plāna 2023.-2027.gadam intervencē  LA19 Darbību īstenošana saskaņā ar vietējās attīstības stratēģiju </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3BA2931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Sniegts ieguldījumu atbalsts nelauksaimnieciskās darbības attīstībai</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A5549A8">
            <w:pPr>
              <w:spacing w:after="120"/>
              <w:jc w:val="both"/>
              <w:rPr>
                <w:rFonts w:ascii="Times New Roman" w:hAnsi="Times New Roman" w:cs="Times New Roman"/>
                <w:sz w:val="20"/>
                <w:szCs w:val="20"/>
              </w:rPr>
            </w:pPr>
            <w:r>
              <w:rPr>
                <w:rFonts w:ascii="Times New Roman" w:hAnsi="Times New Roman" w:cs="Times New Roman"/>
                <w:sz w:val="20"/>
                <w:szCs w:val="20"/>
              </w:rPr>
              <w:t xml:space="preserve">Rezultāti visā Latvijā: </w:t>
            </w:r>
          </w:p>
          <w:p w14:paraId="24F786B4">
            <w:pPr>
              <w:jc w:val="both"/>
              <w:rPr>
                <w:rFonts w:ascii="Times New Roman" w:hAnsi="Times New Roman" w:cs="Times New Roman"/>
                <w:sz w:val="20"/>
                <w:szCs w:val="20"/>
              </w:rPr>
            </w:pPr>
            <w:r>
              <w:rPr>
                <w:rFonts w:ascii="Times New Roman" w:hAnsi="Times New Roman" w:cs="Times New Roman"/>
                <w:sz w:val="20"/>
                <w:szCs w:val="20"/>
              </w:rPr>
              <w:t>Atbalstīti 550 uzņēmumi*</w:t>
            </w:r>
          </w:p>
          <w:p w14:paraId="1BDB7783">
            <w:pPr>
              <w:jc w:val="both"/>
              <w:rPr>
                <w:rFonts w:ascii="Times New Roman" w:hAnsi="Times New Roman" w:cs="Times New Roman"/>
                <w:sz w:val="20"/>
                <w:szCs w:val="20"/>
              </w:rPr>
            </w:pPr>
            <w:r>
              <w:rPr>
                <w:rFonts w:ascii="Times New Roman" w:hAnsi="Times New Roman" w:cs="Times New Roman"/>
                <w:sz w:val="20"/>
                <w:szCs w:val="20"/>
              </w:rPr>
              <w:t>Radītas darba vietas – 100**</w:t>
            </w:r>
          </w:p>
          <w:p w14:paraId="5BBB5F40">
            <w:pPr>
              <w:spacing w:after="120"/>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71BA2C4B">
            <w:pPr>
              <w:spacing w:after="120"/>
              <w:jc w:val="both"/>
              <w:rPr>
                <w:rFonts w:ascii="Times New Roman" w:hAnsi="Times New Roman" w:cs="Times New Roman"/>
                <w:sz w:val="20"/>
                <w:szCs w:val="20"/>
              </w:rPr>
            </w:pPr>
            <w:r>
              <w:rPr>
                <w:rFonts w:ascii="Times New Roman" w:hAnsi="Times New Roman" w:cs="Times New Roman"/>
                <w:sz w:val="20"/>
                <w:szCs w:val="20"/>
              </w:rPr>
              <w:t>Atbalstīti 130 uzņēmumi*</w:t>
            </w:r>
          </w:p>
          <w:p w14:paraId="66F25710">
            <w:pPr>
              <w:jc w:val="both"/>
              <w:rPr>
                <w:rFonts w:ascii="Times New Roman" w:hAnsi="Times New Roman" w:cs="Times New Roman"/>
                <w:sz w:val="20"/>
                <w:szCs w:val="20"/>
              </w:rPr>
            </w:pPr>
            <w:r>
              <w:rPr>
                <w:rFonts w:ascii="Times New Roman" w:hAnsi="Times New Roman" w:cs="Times New Roman"/>
                <w:sz w:val="20"/>
                <w:szCs w:val="20"/>
              </w:rPr>
              <w:t>Radītas 24 darba vietas**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7A02DBFF">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ZM </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ABEC80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LAD </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40BF706">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31.12.2027. </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F525DCE">
            <w:pPr>
              <w:jc w:val="both"/>
              <w:rPr>
                <w:rFonts w:ascii="Times New Roman" w:hAnsi="Times New Roman" w:cs="Times New Roman"/>
                <w:sz w:val="20"/>
                <w:szCs w:val="20"/>
              </w:rPr>
            </w:pPr>
            <w:r>
              <w:rPr>
                <w:rFonts w:ascii="Times New Roman" w:hAnsi="Times New Roman" w:cs="Times New Roman"/>
                <w:sz w:val="20"/>
                <w:szCs w:val="20"/>
              </w:rPr>
              <w:t xml:space="preserve">Kopējais finansējums visā Latvijā: </w:t>
            </w:r>
          </w:p>
          <w:p w14:paraId="25E58E91">
            <w:pPr>
              <w:jc w:val="both"/>
              <w:rPr>
                <w:rFonts w:ascii="Times New Roman" w:hAnsi="Times New Roman" w:cs="Times New Roman"/>
                <w:sz w:val="20"/>
                <w:szCs w:val="20"/>
              </w:rPr>
            </w:pPr>
            <w:r>
              <w:rPr>
                <w:rFonts w:ascii="Times New Roman" w:hAnsi="Times New Roman" w:cs="Times New Roman"/>
                <w:sz w:val="20"/>
                <w:szCs w:val="20"/>
              </w:rPr>
              <w:t xml:space="preserve">24 900 000 </w:t>
            </w:r>
            <w:r>
              <w:rPr>
                <w:rFonts w:ascii="Times New Roman" w:hAnsi="Times New Roman" w:cs="Times New Roman"/>
                <w:i/>
                <w:iCs/>
                <w:sz w:val="20"/>
                <w:szCs w:val="20"/>
              </w:rPr>
              <w:t>euro</w:t>
            </w:r>
          </w:p>
          <w:p w14:paraId="40263BE6">
            <w:pPr>
              <w:jc w:val="both"/>
              <w:rPr>
                <w:rFonts w:ascii="Times New Roman" w:hAnsi="Times New Roman" w:cs="Times New Roman"/>
                <w:sz w:val="20"/>
                <w:szCs w:val="20"/>
              </w:rPr>
            </w:pPr>
            <w:r>
              <w:rPr>
                <w:rFonts w:ascii="Times New Roman" w:hAnsi="Times New Roman" w:cs="Times New Roman"/>
                <w:sz w:val="20"/>
                <w:szCs w:val="20"/>
              </w:rPr>
              <w:t xml:space="preserve">Austrumu pierobežā: </w:t>
            </w:r>
          </w:p>
          <w:p w14:paraId="15D4CEEF">
            <w:pPr>
              <w:jc w:val="both"/>
              <w:rPr>
                <w:rFonts w:ascii="Times New Roman" w:hAnsi="Times New Roman" w:cs="Times New Roman"/>
                <w:sz w:val="20"/>
                <w:szCs w:val="20"/>
              </w:rPr>
            </w:pPr>
            <w:r>
              <w:rPr>
                <w:rFonts w:ascii="Times New Roman" w:hAnsi="Times New Roman" w:cs="Times New Roman"/>
                <w:sz w:val="20"/>
                <w:szCs w:val="20"/>
              </w:rPr>
              <w:t xml:space="preserve">7 600 000 </w:t>
            </w:r>
            <w:r>
              <w:rPr>
                <w:rFonts w:ascii="Times New Roman" w:hAnsi="Times New Roman" w:cs="Times New Roman"/>
                <w:i/>
                <w:iCs/>
                <w:sz w:val="20"/>
                <w:szCs w:val="20"/>
              </w:rPr>
              <w:t>euro</w:t>
            </w:r>
            <w:r>
              <w:rPr>
                <w:rFonts w:ascii="Times New Roman" w:hAnsi="Times New Roman" w:cs="Times New Roman"/>
                <w:sz w:val="20"/>
                <w:szCs w:val="20"/>
              </w:rPr>
              <w:t xml:space="preserve"> </w:t>
            </w:r>
          </w:p>
          <w:p w14:paraId="3A109C83">
            <w:pPr>
              <w:spacing w:after="120" w:line="240" w:lineRule="auto"/>
              <w:rPr>
                <w:rFonts w:ascii="Times New Roman" w:hAnsi="Times New Roman" w:cs="Times New Roman"/>
                <w:i/>
                <w:sz w:val="20"/>
                <w:szCs w:val="20"/>
              </w:rPr>
            </w:pPr>
            <w:r>
              <w:rPr>
                <w:rFonts w:ascii="Times New Roman" w:hAnsi="Times New Roman" w:cs="Times New Roman"/>
                <w:i/>
                <w:iCs/>
                <w:sz w:val="20"/>
                <w:szCs w:val="20"/>
              </w:rPr>
              <w:t xml:space="preserve">(ES fondi: ELFLA) </w:t>
            </w:r>
          </w:p>
        </w:tc>
      </w:tr>
      <w:tr w14:paraId="78E7872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397F96C1">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4FC9CE2">
            <w:pPr>
              <w:spacing w:line="240" w:lineRule="auto"/>
              <w:jc w:val="both"/>
              <w:rPr>
                <w:rFonts w:ascii="Times New Roman" w:hAnsi="Times New Roman" w:cs="Times New Roman"/>
                <w:sz w:val="20"/>
                <w:szCs w:val="20"/>
              </w:rPr>
            </w:pPr>
            <w:r>
              <w:rPr>
                <w:rFonts w:ascii="Times New Roman" w:hAnsi="Times New Roman" w:cs="Times New Roman"/>
                <w:sz w:val="20"/>
                <w:szCs w:val="20"/>
              </w:rPr>
              <w:t>2.4.1.2.i. investīcija "Platjoslas jeb ļoti augstas veiktspējas tīklu "pēdējās jūdzes" infrastruktūras attīstība"</w:t>
            </w:r>
          </w:p>
          <w:p w14:paraId="6EC736C3">
            <w:pPr>
              <w:spacing w:line="240" w:lineRule="auto"/>
              <w:jc w:val="both"/>
              <w:rPr>
                <w:rFonts w:ascii="Times New Roman" w:hAnsi="Times New Roman" w:cs="Times New Roman"/>
                <w:bCs/>
                <w:sz w:val="20"/>
                <w:szCs w:val="20"/>
              </w:rPr>
            </w:pP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6B8CD01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Tehnoloģiski neitrālu pieslēgumu ierīkošana, kas atbalsta ilgtspējīgu nākamās paaudzes fiksēto un fiksēto bezvadu tīklu sakaru savienojamību elektronisko sakaru pakalpojumu pieejamības nodrošināšanai mājsaimniecībām, uzņēmumiem, izglītības iestādēm, ārstniecības iestādēm un citām sabiedriskām ēkām ar lejupielādes ātrumu vismaz 300 Mbit/s maksimumstundas apstākļos.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FB1AED9">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37EE1C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Platjoslas jeb ļoti augstas veiktspējas tīklu "pēdējās jūdzes" infrastruktūras attīstībai piesaistītais finansējums: 16 500 000 </w:t>
            </w:r>
            <w:r>
              <w:rPr>
                <w:rFonts w:ascii="Times New Roman" w:hAnsi="Times New Roman" w:cs="Times New Roman"/>
                <w:i/>
                <w:iCs/>
                <w:sz w:val="20"/>
                <w:szCs w:val="20"/>
              </w:rPr>
              <w:t>euro</w:t>
            </w:r>
            <w:r>
              <w:rPr>
                <w:rFonts w:ascii="Times New Roman" w:hAnsi="Times New Roman" w:cs="Times New Roman"/>
                <w:sz w:val="20"/>
                <w:szCs w:val="20"/>
              </w:rPr>
              <w:t>*</w:t>
            </w:r>
          </w:p>
          <w:p w14:paraId="0CCB09FA">
            <w:pPr>
              <w:spacing w:after="0" w:line="240" w:lineRule="auto"/>
              <w:jc w:val="both"/>
              <w:rPr>
                <w:rFonts w:ascii="Times New Roman" w:hAnsi="Times New Roman" w:cs="Times New Roman"/>
                <w:sz w:val="20"/>
                <w:szCs w:val="20"/>
              </w:rPr>
            </w:pPr>
          </w:p>
          <w:p w14:paraId="37B7F079">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Rezultāta rādītājs:</w:t>
            </w:r>
          </w:p>
          <w:p w14:paraId="2D6E020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Mājsaimniecību, uzņēmumu, izglītības iestāžu, ārstniecības iestāžu un citu sabiedrisko ēku skaits, kurām ir piekļuve platjoslas savienojumiem ar ļoti augstas veiktspējas tīklu – 6200**</w:t>
            </w:r>
          </w:p>
          <w:p w14:paraId="5E50198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Latgales plānošanas reģionā:</w:t>
            </w:r>
          </w:p>
          <w:p w14:paraId="5A8DA86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Platjoslas jeb ļoti augstas veiktspējas tīklu "pēdējās jūdzes" infrastruktūras attīstībai piesaistītais finansējums: 3 300 000 </w:t>
            </w:r>
            <w:r>
              <w:rPr>
                <w:rFonts w:ascii="Times New Roman" w:hAnsi="Times New Roman" w:cs="Times New Roman"/>
                <w:i/>
                <w:iCs/>
                <w:sz w:val="20"/>
                <w:szCs w:val="20"/>
              </w:rPr>
              <w:t>euro</w:t>
            </w:r>
            <w:r>
              <w:rPr>
                <w:rFonts w:ascii="Times New Roman" w:hAnsi="Times New Roman" w:cs="Times New Roman"/>
                <w:sz w:val="20"/>
                <w:szCs w:val="20"/>
              </w:rPr>
              <w:t>*</w:t>
            </w:r>
          </w:p>
          <w:p w14:paraId="14173ED9">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mājsaimniecību, uzņēmumu, izglītības iestāžu, ārstniecības iestāžu un citu sabiedrisko ēku skaits, kurām ir piekļuve platjoslas savienojumiem ar ļoti augstas veiktspējas tīklu – 1240**</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5AD2CB7E">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SM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3D5979C">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CFLA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42618A9">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2026. gada 30. jūnijam</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8CFF36E">
            <w:pPr>
              <w:spacing w:after="0" w:line="240" w:lineRule="auto"/>
              <w:jc w:val="both"/>
              <w:rPr>
                <w:rFonts w:ascii="Times New Roman" w:hAnsi="Times New Roman" w:cs="Times New Roman"/>
                <w:sz w:val="20"/>
                <w:szCs w:val="20"/>
              </w:rPr>
            </w:pPr>
            <w:r>
              <w:rPr>
                <w:rFonts w:ascii="Times New Roman" w:hAnsi="Times New Roman" w:eastAsia="Times New Roman" w:cs="Times New Roman"/>
                <w:iCs/>
                <w:sz w:val="20"/>
                <w:szCs w:val="20"/>
              </w:rPr>
              <w:t>Kopējais finansējums visā Latvijā</w:t>
            </w:r>
            <w:r>
              <w:rPr>
                <w:rFonts w:ascii="Times New Roman" w:hAnsi="Times New Roman" w:cs="Times New Roman"/>
                <w:sz w:val="20"/>
                <w:szCs w:val="20"/>
              </w:rPr>
              <w:t>:</w:t>
            </w:r>
          </w:p>
          <w:p w14:paraId="37C82C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16 500 000 </w:t>
            </w:r>
            <w:r>
              <w:rPr>
                <w:rFonts w:ascii="Times New Roman" w:hAnsi="Times New Roman" w:cs="Times New Roman"/>
                <w:i/>
                <w:iCs/>
                <w:sz w:val="20"/>
                <w:szCs w:val="20"/>
              </w:rPr>
              <w:t>euro</w:t>
            </w:r>
            <w:r>
              <w:rPr>
                <w:rFonts w:ascii="Times New Roman" w:hAnsi="Times New Roman" w:cs="Times New Roman"/>
                <w:sz w:val="20"/>
                <w:szCs w:val="20"/>
              </w:rPr>
              <w:t xml:space="preserve"> </w:t>
            </w:r>
          </w:p>
          <w:p w14:paraId="6D585A38">
            <w:pPr>
              <w:spacing w:after="0" w:line="240" w:lineRule="auto"/>
              <w:jc w:val="both"/>
              <w:rPr>
                <w:rFonts w:ascii="Times New Roman" w:hAnsi="Times New Roman" w:cs="Times New Roman"/>
                <w:sz w:val="20"/>
                <w:szCs w:val="20"/>
              </w:rPr>
            </w:pPr>
          </w:p>
          <w:p w14:paraId="5901C49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Latgales plānošanas reģionā:</w:t>
            </w:r>
          </w:p>
          <w:p w14:paraId="68D5341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3 300 000 </w:t>
            </w:r>
            <w:r>
              <w:rPr>
                <w:rFonts w:ascii="Times New Roman" w:hAnsi="Times New Roman" w:cs="Times New Roman"/>
                <w:i/>
                <w:iCs/>
                <w:sz w:val="20"/>
                <w:szCs w:val="20"/>
              </w:rPr>
              <w:t>euro</w:t>
            </w:r>
            <w:r>
              <w:rPr>
                <w:rStyle w:val="20"/>
                <w:rFonts w:ascii="Times New Roman" w:hAnsi="Times New Roman" w:cs="Times New Roman"/>
                <w:sz w:val="20"/>
                <w:szCs w:val="20"/>
              </w:rPr>
              <w:footnoteReference w:id="51"/>
            </w:r>
          </w:p>
          <w:p w14:paraId="148CCED5">
            <w:pPr>
              <w:spacing w:after="120" w:line="240" w:lineRule="auto"/>
              <w:rPr>
                <w:rFonts w:ascii="Times New Roman" w:hAnsi="Times New Roman" w:cs="Times New Roman"/>
                <w:i/>
                <w:sz w:val="20"/>
                <w:szCs w:val="20"/>
              </w:rPr>
            </w:pPr>
            <w:r>
              <w:rPr>
                <w:rFonts w:ascii="Times New Roman" w:hAnsi="Times New Roman" w:cs="Times New Roman"/>
                <w:i/>
                <w:sz w:val="20"/>
                <w:szCs w:val="20"/>
              </w:rPr>
              <w:t>(ES fondi</w:t>
            </w:r>
            <w:r>
              <w:rPr>
                <w:rFonts w:ascii="Times New Roman" w:hAnsi="Times New Roman" w:cs="Times New Roman"/>
                <w:i/>
                <w:iCs/>
                <w:sz w:val="20"/>
                <w:szCs w:val="20"/>
              </w:rPr>
              <w:t>: Atjaunošanas un noturības mehānisms</w:t>
            </w:r>
            <w:r>
              <w:rPr>
                <w:rFonts w:ascii="Times New Roman" w:hAnsi="Times New Roman" w:cs="Times New Roman"/>
                <w:i/>
                <w:sz w:val="20"/>
                <w:szCs w:val="20"/>
              </w:rPr>
              <w:t>)</w:t>
            </w:r>
          </w:p>
        </w:tc>
      </w:tr>
      <w:tr w14:paraId="56E0E90F">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18D0D0CF">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DE74648">
            <w:pPr>
              <w:spacing w:line="240" w:lineRule="auto"/>
              <w:jc w:val="both"/>
              <w:rPr>
                <w:rFonts w:ascii="Times New Roman" w:hAnsi="Times New Roman" w:cs="Times New Roman"/>
                <w:bCs/>
                <w:sz w:val="20"/>
                <w:szCs w:val="20"/>
              </w:rPr>
            </w:pPr>
            <w:r>
              <w:rPr>
                <w:rFonts w:ascii="Times New Roman" w:hAnsi="Times New Roman" w:cs="Times New Roman"/>
                <w:sz w:val="20"/>
                <w:szCs w:val="20"/>
              </w:rPr>
              <w:t>1.4.1.1. pasākums “Platjoslas infrastruktūras attīstība (pēdējā jūdze)”</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4C7FEAA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Tehnoloģiski neitrālu pieslēgumu ierīkošana, kas atbalsta ilgtspējīgu nākamās paaudzes fiksēto un fiksēto bezvadu tīklu sakaru savienojamību elektronisko sakaru pakalpojumu pieejamības nodrošināšanai mājsaimniecībām, uzņēmumiem, izglītības iestādēm, ārstniecības iestādēm un citām sabiedriskām ēkām ar lejupielādes ātrumu vismaz 300 Mbit/s maksimumstundas apstākļos.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081AE23">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61D6D7B9">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1565 papildu mājokļi ar piekļuvi ļoti augstas veiktspējas platjoslas tīklam (mājsaimniecību skaits)*</w:t>
            </w:r>
          </w:p>
          <w:p w14:paraId="0A1ECF5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521 papildu uzņēmumi ar piekļuvi ļoti augstas veiktspējas platjoslas tīklam (uzņēmumu skaits)*</w:t>
            </w:r>
          </w:p>
          <w:p w14:paraId="5B041A9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782 mājokļi, kas abonē platjoslas pieslēgumu ļoti augstas veiktspējas tīklam (mājsaimniecību skaits)**</w:t>
            </w:r>
          </w:p>
          <w:p w14:paraId="477DB7C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260 uzņēmumi, kas abonē platjoslas pieslēgumu ļoti augstas veiktspējas tīklam (uzņēmumu skaits)**</w:t>
            </w:r>
          </w:p>
          <w:p w14:paraId="21DCC25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Latgales plānošanas reģionā:</w:t>
            </w:r>
          </w:p>
          <w:p w14:paraId="2D17F09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313 papildu mājokļi ar piekļuvi ļoti augstas veiktspējas platjoslas tīklam (mājsaimniecību skaits)*</w:t>
            </w:r>
          </w:p>
          <w:p w14:paraId="0A750C0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104 papildu uzņēmumi ar piekļuvi ļoti augstas veiktspējas platjoslas tīklam (uzņēmumu skaits)*</w:t>
            </w:r>
          </w:p>
          <w:p w14:paraId="475A123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156 mājokļi, kas abonē platjoslas pieslēgumu ļoti augstas veiktspējas tīklam (mājsaimniecību skaits)**</w:t>
            </w:r>
          </w:p>
          <w:p w14:paraId="625A1934">
            <w:pPr>
              <w:spacing w:after="120" w:line="240" w:lineRule="auto"/>
              <w:jc w:val="both"/>
              <w:rPr>
                <w:rFonts w:ascii="Times New Roman" w:hAnsi="Times New Roman" w:cs="Times New Roman"/>
                <w:sz w:val="20"/>
                <w:szCs w:val="20"/>
                <w:highlight w:val="cyan"/>
              </w:rPr>
            </w:pPr>
            <w:r>
              <w:rPr>
                <w:rFonts w:ascii="Times New Roman" w:hAnsi="Times New Roman" w:cs="Times New Roman"/>
                <w:sz w:val="20"/>
                <w:szCs w:val="20"/>
              </w:rPr>
              <w:t>52 uzņēmumi, kas abonē platjoslas pieslēgumu ļoti augstas veiktspējas tīklam (uzņēmumu skaits)**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3585C87E">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SM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8695320">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CFLA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BA6EC29">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2029. gada 31. decembris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DA74D3C">
            <w:pPr>
              <w:spacing w:after="0" w:line="240" w:lineRule="auto"/>
              <w:jc w:val="both"/>
              <w:rPr>
                <w:rFonts w:ascii="Times New Roman" w:hAnsi="Times New Roman" w:cs="Times New Roman"/>
                <w:sz w:val="20"/>
                <w:szCs w:val="20"/>
              </w:rPr>
            </w:pPr>
            <w:r>
              <w:rPr>
                <w:rFonts w:ascii="Times New Roman" w:hAnsi="Times New Roman" w:eastAsia="Times New Roman" w:cs="Times New Roman"/>
                <w:iCs/>
                <w:sz w:val="20"/>
                <w:szCs w:val="20"/>
              </w:rPr>
              <w:t>Kopējais finansējums visā Latvijā</w:t>
            </w:r>
            <w:r>
              <w:rPr>
                <w:rFonts w:ascii="Times New Roman" w:hAnsi="Times New Roman" w:cs="Times New Roman"/>
                <w:sz w:val="20"/>
                <w:szCs w:val="20"/>
              </w:rPr>
              <w:t>:</w:t>
            </w:r>
          </w:p>
          <w:p w14:paraId="264AD908">
            <w:pPr>
              <w:spacing w:after="0" w:line="240" w:lineRule="auto"/>
              <w:jc w:val="both"/>
              <w:rPr>
                <w:rFonts w:ascii="Times New Roman" w:hAnsi="Times New Roman" w:cs="Times New Roman"/>
                <w:sz w:val="20"/>
                <w:szCs w:val="20"/>
              </w:rPr>
            </w:pPr>
            <w:r>
              <w:rPr>
                <w:rFonts w:ascii="Times New Roman" w:hAnsi="Times New Roman"/>
                <w:sz w:val="20"/>
                <w:szCs w:val="20"/>
              </w:rPr>
              <w:t xml:space="preserve">8 700 000 </w:t>
            </w:r>
            <w:r>
              <w:rPr>
                <w:rFonts w:ascii="Times New Roman" w:hAnsi="Times New Roman" w:cs="Times New Roman"/>
                <w:i/>
                <w:iCs/>
                <w:sz w:val="20"/>
                <w:szCs w:val="20"/>
              </w:rPr>
              <w:t>euro</w:t>
            </w:r>
            <w:r>
              <w:rPr>
                <w:rFonts w:ascii="Times New Roman" w:hAnsi="Times New Roman" w:cs="Times New Roman"/>
                <w:sz w:val="20"/>
                <w:szCs w:val="20"/>
              </w:rPr>
              <w:t xml:space="preserve"> </w:t>
            </w:r>
          </w:p>
          <w:p w14:paraId="2074C068">
            <w:pPr>
              <w:spacing w:after="0" w:line="240" w:lineRule="auto"/>
              <w:jc w:val="both"/>
              <w:rPr>
                <w:rFonts w:ascii="Times New Roman" w:hAnsi="Times New Roman" w:cs="Times New Roman"/>
                <w:sz w:val="20"/>
                <w:szCs w:val="20"/>
              </w:rPr>
            </w:pPr>
          </w:p>
          <w:p w14:paraId="3A06079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Latgales plānošanas reģionā:</w:t>
            </w:r>
          </w:p>
          <w:p w14:paraId="1AC82A8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1 245 724 EUR</w:t>
            </w:r>
            <w:r>
              <w:rPr>
                <w:rStyle w:val="20"/>
                <w:rFonts w:ascii="Times New Roman" w:hAnsi="Times New Roman" w:cs="Times New Roman"/>
                <w:sz w:val="20"/>
                <w:szCs w:val="20"/>
              </w:rPr>
              <w:footnoteReference w:id="52"/>
            </w:r>
          </w:p>
          <w:p w14:paraId="04B8B9DC">
            <w:pPr>
              <w:spacing w:after="0" w:line="240" w:lineRule="auto"/>
              <w:jc w:val="both"/>
              <w:rPr>
                <w:rFonts w:ascii="Times New Roman" w:hAnsi="Times New Roman" w:cs="Times New Roman"/>
                <w:sz w:val="20"/>
                <w:szCs w:val="20"/>
              </w:rPr>
            </w:pPr>
          </w:p>
          <w:p w14:paraId="3DBEAC33">
            <w:pPr>
              <w:spacing w:after="120" w:line="240" w:lineRule="auto"/>
              <w:rPr>
                <w:rFonts w:ascii="Times New Roman" w:hAnsi="Times New Roman" w:cs="Times New Roman"/>
                <w:i/>
                <w:sz w:val="20"/>
                <w:szCs w:val="20"/>
              </w:rPr>
            </w:pPr>
            <w:r>
              <w:rPr>
                <w:rFonts w:ascii="Times New Roman" w:hAnsi="Times New Roman" w:cs="Times New Roman"/>
                <w:i/>
                <w:iCs/>
                <w:sz w:val="20"/>
                <w:szCs w:val="20"/>
              </w:rPr>
              <w:t>(ES fondi: Eiropas Savienības kohēzijas politikas programma 2021.–2027. gadam)</w:t>
            </w:r>
          </w:p>
        </w:tc>
      </w:tr>
      <w:tr w14:paraId="27838B5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7F88948A">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5B75E4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Daugavpils Vienības tilta rekonstrukcija</w:t>
            </w:r>
          </w:p>
        </w:tc>
        <w:tc>
          <w:tcPr>
            <w:tcW w:w="22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6A7C1A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Uzlabota sasniedzamība Daugavpils valstspilsētā un Austrumu pierobežā</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B72B6D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tiek īstenots tikai Austrumu pierobežā, rezultāti:</w:t>
            </w:r>
          </w:p>
          <w:p w14:paraId="4BDC954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Īstenota Daugavpils Vienības tilta rekonstrukcija*</w:t>
            </w:r>
          </w:p>
          <w:p w14:paraId="7CBCD59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Uzlabota iedzīvotāju mobilitāte Daugavpils valstspilsētā un Austrumu pierobežā**</w:t>
            </w:r>
          </w:p>
        </w:tc>
        <w:tc>
          <w:tcPr>
            <w:tcW w:w="1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735A1AD4">
            <w:pPr>
              <w:spacing w:after="120" w:line="240" w:lineRule="auto"/>
              <w:rPr>
                <w:rFonts w:ascii="Times New Roman" w:hAnsi="Times New Roman" w:cs="Times New Roman"/>
                <w:bCs/>
                <w:sz w:val="20"/>
                <w:szCs w:val="20"/>
              </w:rPr>
            </w:pPr>
            <w:r>
              <w:rPr>
                <w:rFonts w:ascii="Times New Roman" w:hAnsi="Times New Roman" w:cs="Times New Roman"/>
                <w:bCs/>
                <w:sz w:val="20"/>
                <w:szCs w:val="20"/>
              </w:rPr>
              <w:t>FM, SM</w:t>
            </w:r>
          </w:p>
        </w:tc>
        <w:tc>
          <w:tcPr>
            <w:tcW w:w="153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62C41A4B">
            <w:pPr>
              <w:spacing w:after="120" w:line="240" w:lineRule="auto"/>
              <w:rPr>
                <w:rFonts w:ascii="Times New Roman" w:hAnsi="Times New Roman" w:cs="Times New Roman"/>
                <w:sz w:val="20"/>
                <w:szCs w:val="20"/>
              </w:rPr>
            </w:pPr>
          </w:p>
        </w:tc>
        <w:tc>
          <w:tcPr>
            <w:tcW w:w="11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831A303">
            <w:pPr>
              <w:spacing w:after="120" w:line="240" w:lineRule="auto"/>
              <w:rPr>
                <w:rFonts w:ascii="Times New Roman" w:hAnsi="Times New Roman" w:cs="Times New Roman"/>
                <w:sz w:val="20"/>
                <w:szCs w:val="20"/>
              </w:rPr>
            </w:pPr>
            <w:r>
              <w:rPr>
                <w:rFonts w:ascii="Times New Roman" w:hAnsi="Times New Roman" w:cs="Times New Roman"/>
                <w:sz w:val="20"/>
                <w:szCs w:val="20"/>
              </w:rPr>
              <w:t>2025-2027</w:t>
            </w:r>
          </w:p>
        </w:tc>
        <w:tc>
          <w:tcPr>
            <w:tcW w:w="24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34775E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Ar Ministru kabineta 19.09.2024. sēdes protokollēmumu (prot. Nr. 38 2. § 4.punkts) ir iezīmēts, ka Daugavpils Vienības tilta rekonstrukcijai ir novirzāms Eiropas Savienības fondu finansējums.</w:t>
            </w:r>
            <w:r>
              <w:rPr>
                <w:rStyle w:val="20"/>
                <w:rFonts w:ascii="Times New Roman" w:hAnsi="Times New Roman" w:cs="Times New Roman"/>
                <w:sz w:val="20"/>
                <w:szCs w:val="20"/>
              </w:rPr>
              <w:footnoteReference w:id="53"/>
            </w:r>
          </w:p>
        </w:tc>
      </w:tr>
      <w:tr w14:paraId="28896C56">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06D3E63">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09FF2E2A">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Atjaunīgās elektroenerģijas ražošanas attīstība Austrumu pierobežā</w:t>
            </w:r>
          </w:p>
        </w:tc>
        <w:tc>
          <w:tcPr>
            <w:tcW w:w="22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D9ABEB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Uzstādīta jauna atjaunīgās elektroenerģijas jauda</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75621C0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tiek īstenots tikai Austrumu pierobežā, rezultāti:</w:t>
            </w:r>
          </w:p>
          <w:p w14:paraId="5492B0C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Vismaz 2 projekti*</w:t>
            </w:r>
          </w:p>
          <w:p w14:paraId="1A9443F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Vismaz 10 MW**</w:t>
            </w:r>
          </w:p>
        </w:tc>
        <w:tc>
          <w:tcPr>
            <w:tcW w:w="1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4FF4E3D">
            <w:pPr>
              <w:spacing w:after="120" w:line="240" w:lineRule="auto"/>
              <w:rPr>
                <w:rFonts w:ascii="Times New Roman" w:hAnsi="Times New Roman" w:cs="Times New Roman"/>
                <w:bCs/>
                <w:sz w:val="20"/>
                <w:szCs w:val="20"/>
              </w:rPr>
            </w:pPr>
            <w:r>
              <w:rPr>
                <w:rFonts w:ascii="Times New Roman" w:hAnsi="Times New Roman" w:eastAsia="Times New Roman" w:cs="Times New Roman"/>
                <w:sz w:val="20"/>
                <w:szCs w:val="20"/>
              </w:rPr>
              <w:t>KEM</w:t>
            </w:r>
          </w:p>
        </w:tc>
        <w:tc>
          <w:tcPr>
            <w:tcW w:w="153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1696443">
            <w:pPr>
              <w:spacing w:after="120" w:line="240" w:lineRule="auto"/>
              <w:rPr>
                <w:rFonts w:ascii="Times New Roman" w:hAnsi="Times New Roman" w:cs="Times New Roman"/>
                <w:sz w:val="20"/>
                <w:szCs w:val="20"/>
              </w:rPr>
            </w:pPr>
            <w:r>
              <w:rPr>
                <w:rFonts w:ascii="Times New Roman" w:hAnsi="Times New Roman" w:eastAsia="Times New Roman" w:cs="Times New Roman"/>
                <w:sz w:val="20"/>
                <w:szCs w:val="20"/>
              </w:rPr>
              <w:t>AiM</w:t>
            </w:r>
          </w:p>
        </w:tc>
        <w:tc>
          <w:tcPr>
            <w:tcW w:w="11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338199C">
            <w:pPr>
              <w:spacing w:after="120" w:line="240" w:lineRule="auto"/>
              <w:rPr>
                <w:rFonts w:ascii="Times New Roman" w:hAnsi="Times New Roman" w:cs="Times New Roman"/>
                <w:sz w:val="20"/>
                <w:szCs w:val="20"/>
              </w:rPr>
            </w:pPr>
            <w:r>
              <w:rPr>
                <w:rFonts w:ascii="Times New Roman" w:hAnsi="Times New Roman" w:eastAsia="Times New Roman" w:cs="Times New Roman"/>
                <w:sz w:val="20"/>
                <w:szCs w:val="20"/>
              </w:rPr>
              <w:t>Individuāli, atkarībā no projektu attīstītāju laika grafika</w:t>
            </w:r>
          </w:p>
        </w:tc>
        <w:tc>
          <w:tcPr>
            <w:tcW w:w="24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D8A6F0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tiek īstenots tikai Austrumu pierobežā, finansējums:</w:t>
            </w:r>
          </w:p>
          <w:p w14:paraId="6A07B06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1 000 000 EUR/1 MW uzstādītās jaudas </w:t>
            </w:r>
          </w:p>
          <w:p w14:paraId="6A3B432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Privātais finansējums</w:t>
            </w:r>
            <w:r>
              <w:rPr>
                <w:rStyle w:val="20"/>
                <w:rFonts w:ascii="Times New Roman" w:hAnsi="Times New Roman" w:cs="Times New Roman"/>
                <w:sz w:val="20"/>
                <w:szCs w:val="20"/>
              </w:rPr>
              <w:footnoteReference w:id="54"/>
            </w:r>
          </w:p>
        </w:tc>
      </w:tr>
      <w:tr w14:paraId="52381819">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2E1BF48">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9741AB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Tehniskā palīdzība, lai izpētītu un izplatītu Prasmju pakta</w:t>
            </w:r>
            <w:r>
              <w:rPr>
                <w:rStyle w:val="20"/>
                <w:rFonts w:ascii="Times New Roman" w:hAnsi="Times New Roman" w:cs="Times New Roman"/>
                <w:sz w:val="20"/>
                <w:szCs w:val="20"/>
              </w:rPr>
              <w:footnoteReference w:id="55"/>
            </w:r>
            <w:r>
              <w:rPr>
                <w:rFonts w:ascii="Times New Roman" w:hAnsi="Times New Roman" w:cs="Times New Roman"/>
                <w:sz w:val="20"/>
                <w:szCs w:val="20"/>
              </w:rPr>
              <w:t xml:space="preserve"> izvēles un iespējas, iespējams, kopīgi izstrādājot rīcības plānus, kas saistīti ar uzņēmumiem un izglītības iestādēm (EK projekts sadarbībā ar Pasaules Banku “Baltijas valstu attīstības izlīdzināšanās reģionu iniciatīva Igaunijā, Latvijā un Lietuvā: robežreģionu stiprināšana noturībai un izaugsmei”)</w:t>
            </w:r>
          </w:p>
        </w:tc>
        <w:tc>
          <w:tcPr>
            <w:tcW w:w="22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631344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Pirmais solis būtu pakta dalībnieku identificēšana galvenajos reģionos un pēc tam iespēju noteikšana, lai paātrinātu iesaistīšanos un rīcību vietējā līmenī. Tas varētu izpausties kā vietēji saskaņoti rīcības plāni, kuros iekļautas uzņēmējdarbības un izglītības iestādes.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A80039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tiks īstenots tikai Austrumu pierobežā, rezultāti:</w:t>
            </w:r>
          </w:p>
          <w:p w14:paraId="65CE7B5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Prasmju pakta virzība*</w:t>
            </w:r>
          </w:p>
          <w:p w14:paraId="18B0175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Risināts jautājums par darba tirgus pieprasījuma un piedāvājuma saskaņošanu**</w:t>
            </w:r>
          </w:p>
        </w:tc>
        <w:tc>
          <w:tcPr>
            <w:tcW w:w="1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67BFBE9">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EK, Pasaules Banka, Latgales plānošanas reģions</w:t>
            </w:r>
          </w:p>
        </w:tc>
        <w:tc>
          <w:tcPr>
            <w:tcW w:w="153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D7BDFED">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VARAM</w:t>
            </w:r>
          </w:p>
        </w:tc>
        <w:tc>
          <w:tcPr>
            <w:tcW w:w="11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44A6F7A">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2025-2027</w:t>
            </w:r>
          </w:p>
        </w:tc>
        <w:tc>
          <w:tcPr>
            <w:tcW w:w="24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56A34FC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Projekta finansējuma ietvaros</w:t>
            </w:r>
            <w:r>
              <w:rPr>
                <w:rStyle w:val="20"/>
                <w:rFonts w:ascii="Times New Roman" w:hAnsi="Times New Roman" w:cs="Times New Roman"/>
                <w:sz w:val="20"/>
                <w:szCs w:val="20"/>
              </w:rPr>
              <w:footnoteReference w:id="56"/>
            </w:r>
          </w:p>
        </w:tc>
      </w:tr>
      <w:tr w14:paraId="5913E38F">
        <w:tblPrEx>
          <w:tblCellMar>
            <w:top w:w="0" w:type="dxa"/>
            <w:left w:w="10" w:type="dxa"/>
            <w:bottom w:w="0" w:type="dxa"/>
            <w:right w:w="10" w:type="dxa"/>
          </w:tblCellMar>
        </w:tblPrEx>
        <w:trPr>
          <w:gridAfter w:val="1"/>
          <w:wAfter w:w="13" w:type="dxa"/>
          <w:jc w:val="center"/>
        </w:trPr>
        <w:tc>
          <w:tcPr>
            <w:tcW w:w="15446" w:type="dxa"/>
            <w:gridSpan w:val="8"/>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78CDCE97">
            <w:pPr>
              <w:pStyle w:val="52"/>
              <w:numPr>
                <w:ilvl w:val="0"/>
                <w:numId w:val="13"/>
              </w:numPr>
              <w:spacing w:after="120" w:line="240" w:lineRule="auto"/>
              <w:jc w:val="both"/>
              <w:rPr>
                <w:rFonts w:ascii="Times New Roman" w:hAnsi="Times New Roman" w:eastAsia="Times New Roman" w:cs="Times New Roman"/>
                <w:b/>
                <w:bCs/>
                <w:sz w:val="20"/>
                <w:szCs w:val="20"/>
              </w:rPr>
            </w:pPr>
            <w:r>
              <w:rPr>
                <w:rFonts w:ascii="Times New Roman" w:hAnsi="Times New Roman" w:cs="Times New Roman"/>
                <w:b/>
                <w:bCs/>
                <w:sz w:val="20"/>
                <w:szCs w:val="20"/>
              </w:rPr>
              <w:t>Rīcības virziens</w:t>
            </w:r>
            <w:r>
              <w:rPr>
                <w:rFonts w:ascii="Times New Roman" w:hAnsi="Times New Roman" w:eastAsia="Times New Roman" w:cs="Times New Roman"/>
                <w:b/>
                <w:bCs/>
                <w:sz w:val="20"/>
                <w:szCs w:val="20"/>
              </w:rPr>
              <w:t xml:space="preserve">  - Cilvēkresursu attīstība </w:t>
            </w:r>
          </w:p>
          <w:p w14:paraId="73333B60">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Cilvēkresursi ir jebkuras teritorijas galvenais kapitāls un vienlaicīgi attīstības veicināšanas pasākumu galvenais mērķis. Lai samazinātu depopulāciju Austrumu pierobežā, nepieciešams nodrošināt labi apmaksātas darbavietas iedzīvotājiem un potenciālajiem remigrantiem un kvalificēta darbaspēka pieejamību esošajiem un jauniem uzņēmumiem Austrumu pierobežas teritorijā. Tāpat būtiski ir nodrošināt dažādu pakalpojumu, piemēram, izglītības un veselības jomā, pieejamību. Teritorijas apdzīvotība Austrumu pierobežā ir nozīmīgs aspekts arī drošības kontekstā.</w:t>
            </w:r>
          </w:p>
          <w:p w14:paraId="0F79B682">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Iepriekšminētais tiks veicināts, izglītības jomā stiprinot vispārējās izglītības pieejamību Austrumu pierobežā, t.sk. sniedzot atbalstu skolu saglabāšanai Austrumu pierobežā, piemērojot zemākus kritērijus minimālajam skolēnu skaitam - nodrošinot vismaz 8 pieejamības jeb izņēmuma  skolas; nodrošināt, ka reģionam un lauksaimniecības nozarei nozīmīgā Malnavas koledža turpina darbību koledžas statusā, īstenojot īsā cikla augstākās izglītības programmas; panākot uzņēmēju vajadzību un augstākās izglītības un zinātnes piedāvājuma sinerģiju Latgalē.</w:t>
            </w:r>
          </w:p>
          <w:p w14:paraId="7ED2D4E1">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Tāpat tiks nodrošināts, ka tiks veikta Rēzeknes Tehnoloģiju akadēmijas integrācija Rīgas Tehniskās universitātes ekosistēmā. Vienlaikus tiks turpināta Daugavpils Universitātes darbība, nodrošinot konkurētspējīgu augstākās izglītības piedāvājumu reģionā, stiprinot zinātnes kapacitāti ar ietekmi uz ekonomisko transformāciju, piesaistot un noturot akadēmisko personālu.</w:t>
            </w:r>
          </w:p>
          <w:p w14:paraId="4B5B4A9B">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Tiks mazināti šķēršļi vispārējās izglītības satura apguvei, nodrošinot portatīvās datortehnikas pieejamību izglītojamiem no sociāli neaizsargātām grupām un nodrošinot datu pārraides pieejamību digitālo tehnoloģiju izmantošanai mācību procesā.</w:t>
            </w:r>
          </w:p>
          <w:p w14:paraId="0849EAB0">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Tiks stiprināts slimnīcu neatliekamās medicīnas un pacientu uzņemšanas nodaļas darbs, papildus izveidojot 34 aprūpes atbalsta personu darba vietas Austrumu pierobežā.</w:t>
            </w:r>
          </w:p>
          <w:p w14:paraId="4DA34092">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VM līdzdalība SIA “Daugavpils reģionālā slimnīca” nodrošinās vienlīdz pieejamus un kvalitatīvus veselības aprūpes pakalpojumus Latgales reģiona iedzīvotājiem.</w:t>
            </w:r>
          </w:p>
          <w:p w14:paraId="26BA6DD2">
            <w:pPr>
              <w:spacing w:after="120" w:line="240" w:lineRule="auto"/>
              <w:jc w:val="both"/>
              <w:rPr>
                <w:rFonts w:ascii="Times New Roman" w:hAnsi="Times New Roman" w:eastAsia="Times New Roman" w:cs="Times New Roman"/>
                <w:b/>
                <w:bCs/>
                <w:sz w:val="20"/>
                <w:szCs w:val="20"/>
              </w:rPr>
            </w:pPr>
            <w:r>
              <w:rPr>
                <w:rFonts w:ascii="Times New Roman" w:hAnsi="Times New Roman" w:eastAsia="Times New Roman" w:cs="Times New Roman"/>
                <w:sz w:val="20"/>
                <w:szCs w:val="20"/>
              </w:rPr>
              <w:t>Plānā iekļautas rīcības, kas ietver pierobežas jauniešu Valsts aizsardzības prasmju attīstīšanu, apmācot vismaz 200 jauniešus Militārā pamatkursa pirmajā līmenī.</w:t>
            </w:r>
          </w:p>
        </w:tc>
      </w:tr>
      <w:tr w14:paraId="17A69EEC">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002A04D9">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Nr. p.k.</w:t>
            </w:r>
          </w:p>
        </w:tc>
        <w:tc>
          <w:tcPr>
            <w:tcW w:w="3532"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6708A483">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Pasākums</w:t>
            </w:r>
          </w:p>
        </w:tc>
        <w:tc>
          <w:tcPr>
            <w:tcW w:w="22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519C31D2">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Darbības rezultāts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703033A8">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Rezultatīvais rādītājs</w:t>
            </w:r>
          </w:p>
        </w:tc>
        <w:tc>
          <w:tcPr>
            <w:tcW w:w="1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14:paraId="043AA33B">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Atbildīgā institūcija</w:t>
            </w:r>
          </w:p>
        </w:tc>
        <w:tc>
          <w:tcPr>
            <w:tcW w:w="1539"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5894B0D3">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Līdzatbildīgās institūcijas</w:t>
            </w:r>
          </w:p>
        </w:tc>
        <w:tc>
          <w:tcPr>
            <w:tcW w:w="1121"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5B5076CD">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Izpildes termiņš</w:t>
            </w:r>
          </w:p>
        </w:tc>
        <w:tc>
          <w:tcPr>
            <w:tcW w:w="2451" w:type="dxa"/>
            <w:gridSpan w:val="2"/>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top w:w="0" w:type="dxa"/>
              <w:left w:w="108" w:type="dxa"/>
              <w:bottom w:w="0" w:type="dxa"/>
              <w:right w:w="108" w:type="dxa"/>
            </w:tcMar>
            <w:vAlign w:val="center"/>
          </w:tcPr>
          <w:p w14:paraId="38EA82BF">
            <w:pPr>
              <w:spacing w:after="120" w:line="240" w:lineRule="auto"/>
              <w:jc w:val="center"/>
              <w:rPr>
                <w:rFonts w:ascii="Times New Roman" w:hAnsi="Times New Roman" w:cs="Times New Roman"/>
                <w:b/>
                <w:sz w:val="20"/>
                <w:szCs w:val="20"/>
              </w:rPr>
            </w:pPr>
            <w:r>
              <w:rPr>
                <w:rFonts w:ascii="Times New Roman" w:hAnsi="Times New Roman" w:cs="Times New Roman"/>
                <w:b/>
                <w:bCs/>
                <w:sz w:val="20"/>
                <w:szCs w:val="20"/>
              </w:rPr>
              <w:t>Finansējums</w:t>
            </w:r>
          </w:p>
        </w:tc>
      </w:tr>
      <w:tr w14:paraId="16316DD4">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577B010F">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4E48EDE">
            <w:pPr>
              <w:spacing w:line="240" w:lineRule="auto"/>
              <w:jc w:val="both"/>
              <w:rPr>
                <w:rFonts w:ascii="Times New Roman" w:hAnsi="Times New Roman" w:cs="Times New Roman"/>
                <w:sz w:val="20"/>
                <w:szCs w:val="20"/>
              </w:rPr>
            </w:pPr>
            <w:r>
              <w:rPr>
                <w:rFonts w:ascii="Times New Roman" w:hAnsi="Times New Roman" w:cs="Times New Roman"/>
                <w:sz w:val="20"/>
                <w:szCs w:val="20"/>
              </w:rPr>
              <w:t>Pilnveidot augstākās izglītības un zinātnes piedāvājuma atbilstību reģiona uzņēmēju vajadzībām augstas pievienotās vērtības nozarēs, balstoties reģiona uzņēmēju vajadzību apsekošanā un zinātnisko institūciju starptautiskā izvērtējuma rezultātos un rekomendācijās</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6F499C2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Izvērtēta Latgales augstākās izglītības un zinātnes institūciju piedāvājuma atbilstība reģiona uzņēmēju vajadzībām augstas pievienotās vērtības nozarēs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13E8DE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 (viens dokuments visā Latvijā):</w:t>
            </w:r>
          </w:p>
          <w:p w14:paraId="029EB19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Izstrādāts 1 ziņojums par reģiona augstākās izglītības un zinātnes piedāvājuma atbilstību uzņēmēju vajadzībām*</w:t>
            </w:r>
          </w:p>
          <w:p w14:paraId="75F7BB1C">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Ir apzināta reģiona augstākās izglītības un zinātnes atbilstība reģiona vajadzībām un ņemta vērā, veidojot augstākās izglītības un zinātnes politiku**</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3BD21DA1">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IZM, LDDK</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6C77818">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EM</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D56D296">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2026.gada 2.puse (indikatīvi)</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38F85A6E">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54D8E200">
            <w:pPr>
              <w:spacing w:after="120" w:line="240" w:lineRule="auto"/>
              <w:rPr>
                <w:rFonts w:ascii="Times New Roman" w:hAnsi="Times New Roman" w:cs="Times New Roman"/>
                <w:sz w:val="20"/>
                <w:szCs w:val="20"/>
              </w:rPr>
            </w:pPr>
            <w:r>
              <w:rPr>
                <w:rFonts w:ascii="Times New Roman" w:hAnsi="Times New Roman" w:eastAsia="Times New Roman" w:cs="Times New Roman"/>
                <w:sz w:val="20"/>
                <w:szCs w:val="20"/>
              </w:rPr>
              <w:t>IZM esošā budžeta ietvaros</w:t>
            </w:r>
            <w:r>
              <w:rPr>
                <w:rFonts w:ascii="Times New Roman" w:hAnsi="Times New Roman" w:cs="Times New Roman"/>
                <w:sz w:val="20"/>
                <w:szCs w:val="20"/>
              </w:rPr>
              <w:t xml:space="preserve"> – finansējuma apjoms tiks precizēts pēc iepirkuma</w:t>
            </w:r>
          </w:p>
          <w:p w14:paraId="1F62EE39">
            <w:pPr>
              <w:spacing w:after="120" w:line="240" w:lineRule="auto"/>
              <w:rPr>
                <w:rFonts w:ascii="Times New Roman" w:hAnsi="Times New Roman" w:cs="Times New Roman"/>
                <w:i/>
                <w:iCs/>
                <w:sz w:val="20"/>
                <w:szCs w:val="20"/>
              </w:rPr>
            </w:pPr>
            <w:r>
              <w:rPr>
                <w:rFonts w:ascii="Times New Roman" w:hAnsi="Times New Roman" w:cs="Times New Roman"/>
                <w:i/>
                <w:iCs/>
                <w:sz w:val="20"/>
                <w:szCs w:val="20"/>
              </w:rPr>
              <w:t>(Valsts budžets)</w:t>
            </w:r>
          </w:p>
          <w:p w14:paraId="76D9A239">
            <w:pPr>
              <w:spacing w:after="120" w:line="240" w:lineRule="auto"/>
              <w:rPr>
                <w:rFonts w:ascii="Times New Roman" w:hAnsi="Times New Roman" w:eastAsia="Times New Roman" w:cs="Times New Roman"/>
                <w:sz w:val="20"/>
                <w:szCs w:val="20"/>
              </w:rPr>
            </w:pPr>
          </w:p>
        </w:tc>
      </w:tr>
      <w:tr w14:paraId="5CD4250E">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79E2EBB0">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178CB48">
            <w:pPr>
              <w:spacing w:line="240" w:lineRule="auto"/>
              <w:jc w:val="both"/>
              <w:rPr>
                <w:rFonts w:ascii="Times New Roman" w:hAnsi="Times New Roman" w:cs="Times New Roman"/>
                <w:sz w:val="20"/>
                <w:szCs w:val="20"/>
              </w:rPr>
            </w:pPr>
            <w:r>
              <w:rPr>
                <w:rFonts w:ascii="Times New Roman" w:hAnsi="Times New Roman" w:cs="Times New Roman"/>
                <w:sz w:val="20"/>
                <w:szCs w:val="20"/>
              </w:rPr>
              <w:t>Stiprinātas slimnīcu neatliekamās medicīnas un pacientu uzņemšanas nodaļas, lai pacients vēršoties jebkurā slimnīcā atbilstoši slimnīcas līmenim varētu saņemt neatliekamo palīdzību visu diennakti Austrumu pierobežā</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621B44D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Iedzīvotājiem Austrumu pierobežā nodrošināta iespēja saņemt neatliekamo medicīnisko palīdzību visu diennakti jebkurā slimnīcā atbilstoši līmenim</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C3AC38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visā Latvijā:</w:t>
            </w:r>
          </w:p>
          <w:p w14:paraId="7C94B56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Visā Latvijā slimnīcu neatliekamās medicīnas un pacientu uzņemšanas nodaļās ir papildu 211 pacientu aprūpes atbalsta personas*</w:t>
            </w:r>
          </w:p>
          <w:p w14:paraId="4B8543E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Nodrošināts papildu aprūpes medicīnas personāls neatliekamās medicīnas un pacientu uzņemšanas nodaļās**</w:t>
            </w:r>
          </w:p>
          <w:p w14:paraId="528C092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2653BA6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Austrumu pierobežā slimnīcu neatliekamās medicīnas un pacientu uzņemšanas nodaļās ir papildu 34 pacientu aprūpes atbalsta personas*</w:t>
            </w:r>
          </w:p>
          <w:p w14:paraId="4B2E164C">
            <w:pPr>
              <w:spacing w:after="120" w:line="240" w:lineRule="auto"/>
              <w:jc w:val="both"/>
            </w:pPr>
            <w:r>
              <w:rPr>
                <w:rFonts w:ascii="Times New Roman" w:hAnsi="Times New Roman" w:cs="Times New Roman"/>
                <w:sz w:val="20"/>
                <w:szCs w:val="20"/>
              </w:rPr>
              <w:t>Austrumu pierobežā nodrošināts papildu aprūpes medicīnas personāls neatliekamās medicīnas un pacientu uzņemšanas nodaļās**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421A420B">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VM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4647113">
            <w:pPr>
              <w:spacing w:after="120" w:line="240" w:lineRule="auto"/>
              <w:jc w:val="center"/>
              <w:rPr>
                <w:rFonts w:ascii="Times New Roman" w:hAnsi="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C52878C">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No 2024. gada 1.maija</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D839018">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264B4F90">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Visā Latvijā slimnīcām piešķirts papildus finansējums no 2025.gada ik gadu 22 665 085 euro apmērā</w:t>
            </w:r>
          </w:p>
          <w:p w14:paraId="7404B178">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Finansējums Austrumu pierobežā:</w:t>
            </w:r>
          </w:p>
          <w:p w14:paraId="55243AFF">
            <w:pPr>
              <w:rPr>
                <w:rFonts w:ascii="Times New Roman" w:hAnsi="Times New Roman" w:eastAsia="Times New Roman" w:cs="Times New Roman"/>
                <w:sz w:val="20"/>
                <w:szCs w:val="20"/>
              </w:rPr>
            </w:pPr>
            <w:r>
              <w:rPr>
                <w:rFonts w:ascii="Times New Roman" w:hAnsi="Times New Roman" w:eastAsia="Times New Roman" w:cs="Times New Roman"/>
                <w:sz w:val="20"/>
                <w:szCs w:val="20"/>
              </w:rPr>
              <w:t>2 630 090 gadā jeb kopā 10 520 360 euro</w:t>
            </w:r>
          </w:p>
          <w:p w14:paraId="2C1D2A7A">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323803C8">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Visā Latvijā pacientu observācijai 2025.gadā un turpmāk ik gadu 4 779 569 euro</w:t>
            </w:r>
          </w:p>
          <w:p w14:paraId="64118907">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Finansējums Austrumu pierobežā:</w:t>
            </w:r>
          </w:p>
          <w:p w14:paraId="5DE01A71">
            <w:pPr>
              <w:rPr>
                <w:rFonts w:ascii="Times New Roman" w:hAnsi="Times New Roman" w:eastAsia="Times New Roman" w:cs="Times New Roman"/>
                <w:sz w:val="20"/>
                <w:szCs w:val="20"/>
              </w:rPr>
            </w:pPr>
            <w:r>
              <w:rPr>
                <w:rFonts w:ascii="Times New Roman" w:hAnsi="Times New Roman" w:eastAsia="Times New Roman" w:cs="Times New Roman"/>
                <w:sz w:val="20"/>
                <w:szCs w:val="20"/>
              </w:rPr>
              <w:t>657 592 gadā jeb kopā 2 630 368 euro</w:t>
            </w:r>
          </w:p>
          <w:p w14:paraId="2526CEB1">
            <w:pPr>
              <w:spacing w:after="120" w:line="240" w:lineRule="auto"/>
              <w:rPr>
                <w:rFonts w:ascii="Times New Roman" w:hAnsi="Times New Roman" w:eastAsia="Times New Roman" w:cs="Times New Roman"/>
                <w:i/>
                <w:sz w:val="20"/>
                <w:szCs w:val="20"/>
              </w:rPr>
            </w:pPr>
            <w:r>
              <w:rPr>
                <w:rFonts w:ascii="Times New Roman" w:hAnsi="Times New Roman" w:eastAsia="Times New Roman" w:cs="Times New Roman"/>
                <w:i/>
                <w:sz w:val="20"/>
                <w:szCs w:val="20"/>
              </w:rPr>
              <w:t>(Valsts budžets)</w:t>
            </w:r>
          </w:p>
        </w:tc>
      </w:tr>
      <w:tr w14:paraId="03D9024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74F5F3E7">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A9ADC5B">
            <w:pPr>
              <w:pStyle w:val="15"/>
              <w:spacing w:after="120"/>
              <w:jc w:val="both"/>
              <w:rPr>
                <w:rFonts w:ascii="Times New Roman" w:hAnsi="Times New Roman" w:cs="Times New Roman"/>
              </w:rPr>
            </w:pPr>
            <w:r>
              <w:rPr>
                <w:rFonts w:ascii="Times New Roman" w:hAnsi="Times New Roman" w:cs="Times New Roman"/>
                <w:kern w:val="0"/>
                <w14:ligatures w14:val="none"/>
              </w:rPr>
              <w:t>VM līdzdalība SIA “Daugavpils reģionālā slimnīca”, lai nodrošinātu vienlīdz pieejamus un kvalitatīvus veselības aprūpes pakalpojumus Latgales reģiona iedzīvotājiem</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1A727C4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VM līdzdalības iegūšanas SIA “Daugavpils reģionālā slimnīca” izvērtējums, iespējams, parādīs ieguvumus vienlīdzīgas veselības aprūpes pakalpojumu pieejamības nodrošināšanai Latgales reģionā, kas veicinās tā sekmīgu norisi</w:t>
            </w:r>
          </w:p>
          <w:p w14:paraId="42045737">
            <w:pPr>
              <w:spacing w:after="120" w:line="240" w:lineRule="auto"/>
              <w:jc w:val="both"/>
              <w:rPr>
                <w:rFonts w:ascii="Times New Roman" w:hAnsi="Times New Roman" w:cs="Times New Roman"/>
                <w:sz w:val="20"/>
                <w:szCs w:val="20"/>
              </w:rPr>
            </w:pP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6369BD94">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Pasākuma, kas tiks īstenots tikai Austrumu pierobežā, rezultāti:</w:t>
            </w:r>
          </w:p>
          <w:p w14:paraId="35836EA2">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VM līdzdalība SIA “Daugavpils reģionālā slimnīca”*</w:t>
            </w:r>
          </w:p>
          <w:p w14:paraId="3B92AFBF">
            <w:pPr>
              <w:spacing w:after="120" w:line="240" w:lineRule="auto"/>
              <w:jc w:val="both"/>
              <w:rPr>
                <w:rFonts w:ascii="Times New Roman" w:hAnsi="Times New Roman" w:cs="Times New Roman"/>
                <w:sz w:val="20"/>
                <w:szCs w:val="20"/>
              </w:rPr>
            </w:pPr>
            <w:r>
              <w:rPr>
                <w:rFonts w:ascii="Times New Roman" w:hAnsi="Times New Roman" w:eastAsia="Times New Roman" w:cs="Times New Roman"/>
                <w:sz w:val="20"/>
                <w:szCs w:val="20"/>
              </w:rPr>
              <w:t>Ar valsts līdzdalību SIA “Daugavpils reģionālā slimnīca” tiks nodrošināta veselības aprūpes pakalpojumu nepārtrauktība, turpinot sniegt neatliekamos un plānveida pakalpojumus Latgales reģiona iedzīvotājiem un nodrošinot veselības aprūpes sistēmas noturību krīžu un katastrofu gadījumos**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056D1944">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VM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56F083D">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Daugavpils valstspilsētas pašvaldība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F9BF163">
            <w:pPr>
              <w:spacing w:after="120" w:line="240" w:lineRule="auto"/>
              <w:jc w:val="center"/>
              <w:rPr>
                <w:rFonts w:ascii="Times New Roman" w:hAnsi="Times New Roman" w:eastAsia="Times New Roman" w:cs="Times New Roman"/>
                <w:i/>
                <w:iCs/>
                <w:sz w:val="20"/>
                <w:szCs w:val="20"/>
              </w:rPr>
            </w:pPr>
            <w:r>
              <w:rPr>
                <w:rFonts w:ascii="Times New Roman" w:hAnsi="Times New Roman" w:eastAsia="Times New Roman" w:cs="Times New Roman"/>
                <w:i/>
                <w:iCs/>
                <w:sz w:val="20"/>
                <w:szCs w:val="20"/>
              </w:rPr>
              <w:t>Tiks precizēts</w:t>
            </w:r>
            <w:r>
              <w:rPr>
                <w:rStyle w:val="20"/>
                <w:rFonts w:ascii="Times New Roman" w:hAnsi="Times New Roman" w:eastAsia="Times New Roman" w:cs="Times New Roman"/>
                <w:i/>
                <w:iCs/>
                <w:sz w:val="20"/>
                <w:szCs w:val="20"/>
              </w:rPr>
              <w:footnoteReference w:id="57"/>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83016EA">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Pasākuma, kas tiks īstenots tikai Austrumu pierobežā, finansējums:</w:t>
            </w:r>
          </w:p>
          <w:p w14:paraId="17EBFEF4">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Finansējuma apmērs un avoti tiks precizēti pēc lēmumu pieņemšanas par valsts līdzdalību SIA “Daugavpils reģionālā slimnīca”</w:t>
            </w:r>
          </w:p>
          <w:p w14:paraId="2C884C04">
            <w:pPr>
              <w:spacing w:after="120" w:line="240" w:lineRule="auto"/>
              <w:rPr>
                <w:rFonts w:ascii="Times New Roman" w:hAnsi="Times New Roman" w:eastAsia="Times New Roman" w:cs="Times New Roman"/>
                <w:sz w:val="20"/>
                <w:szCs w:val="20"/>
              </w:rPr>
            </w:pPr>
          </w:p>
        </w:tc>
      </w:tr>
      <w:tr w14:paraId="4B9C0E76">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1B2C1EA3">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0429175">
            <w:pPr>
              <w:spacing w:after="0" w:line="240" w:lineRule="auto"/>
              <w:rPr>
                <w:rFonts w:ascii="Times New Roman" w:hAnsi="Times New Roman" w:cs="Times New Roman"/>
                <w:i/>
                <w:iCs/>
                <w:kern w:val="0"/>
                <w:sz w:val="24"/>
                <w:szCs w:val="24"/>
                <w:lang w:eastAsia="lv-LV"/>
                <w14:ligatures w14:val="none"/>
              </w:rPr>
            </w:pPr>
            <w:r>
              <w:rPr>
                <w:rFonts w:ascii="Times New Roman" w:hAnsi="Times New Roman" w:cs="Times New Roman"/>
                <w:kern w:val="0"/>
                <w:sz w:val="20"/>
                <w:szCs w:val="20"/>
                <w14:ligatures w14:val="none"/>
              </w:rPr>
              <w:t>Veicināt izglītības iestāžu attīstību un visa līmeņa programmu pieejamību Austrumu pierobežā</w:t>
            </w:r>
            <w:r>
              <w:rPr>
                <w:rStyle w:val="20"/>
                <w:rFonts w:ascii="Times New Roman" w:hAnsi="Times New Roman" w:cs="Times New Roman"/>
                <w:kern w:val="0"/>
                <w:sz w:val="20"/>
                <w:szCs w:val="20"/>
                <w14:ligatures w14:val="none"/>
              </w:rPr>
              <w:footnoteReference w:id="58"/>
            </w:r>
            <w:r>
              <w:rPr>
                <w:rFonts w:ascii="Times New Roman" w:hAnsi="Times New Roman" w:cs="Times New Roman"/>
                <w:kern w:val="0"/>
                <w:sz w:val="24"/>
                <w:szCs w:val="24"/>
                <w:lang w:eastAsia="lv-LV"/>
                <w14:ligatures w14:val="none"/>
              </w:rPr>
              <w:t xml:space="preserve"> </w:t>
            </w:r>
            <w:r>
              <w:rPr>
                <w:rFonts w:ascii="Times New Roman" w:hAnsi="Times New Roman" w:cs="Times New Roman"/>
                <w:kern w:val="0"/>
                <w:sz w:val="20"/>
                <w:szCs w:val="20"/>
                <w:lang w:eastAsia="lv-LV"/>
                <w14:ligatures w14:val="none"/>
              </w:rPr>
              <w:t xml:space="preserve">(Malnavas koledža) </w:t>
            </w:r>
            <w:r>
              <w:rPr>
                <w:rFonts w:ascii="Times New Roman" w:hAnsi="Times New Roman" w:cs="Times New Roman"/>
                <w:i/>
                <w:iCs/>
                <w:kern w:val="0"/>
                <w:sz w:val="20"/>
                <w:szCs w:val="20"/>
                <w:lang w:eastAsia="lv-LV"/>
                <w14:ligatures w14:val="none"/>
              </w:rPr>
              <w:t>(nepieciešams panākt vienošanos starp IZM un ZM par šo pasākumu)</w:t>
            </w:r>
          </w:p>
          <w:p w14:paraId="06A00439">
            <w:pPr>
              <w:pStyle w:val="15"/>
              <w:spacing w:after="0"/>
              <w:jc w:val="both"/>
              <w:rPr>
                <w:rFonts w:ascii="Times New Roman" w:hAnsi="Times New Roman" w:cs="Times New Roman"/>
              </w:rPr>
            </w:pP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43CEAA3E">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Reģionam un lauksaimniecības nozarei nozīmīgā Malnavas koledža turpina darbību koledžas statusā, īstenojot īsā cikla augstākās izglītības programmas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D7DBE69">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Iznākuma rādītājs: </w:t>
            </w:r>
          </w:p>
          <w:p w14:paraId="6BFEA56C">
            <w:pPr>
              <w:spacing w:after="120" w:line="240" w:lineRule="auto"/>
              <w:jc w:val="both"/>
              <w:rPr>
                <w:rFonts w:ascii="Times New Roman" w:hAnsi="Times New Roman" w:cs="Times New Roman"/>
                <w:sz w:val="20"/>
                <w:szCs w:val="20"/>
                <w:lang w:eastAsia="lv-LV"/>
              </w:rPr>
            </w:pPr>
            <w:r>
              <w:rPr>
                <w:rFonts w:ascii="Times New Roman" w:hAnsi="Times New Roman" w:eastAsia="Times New Roman" w:cs="Times New Roman"/>
                <w:sz w:val="20"/>
                <w:szCs w:val="20"/>
              </w:rPr>
              <w:t xml:space="preserve">Veikti grozījumi Profesionālās izglītības likuma 161.panta </w:t>
            </w:r>
            <w:r>
              <w:rPr>
                <w:rFonts w:ascii="Times New Roman" w:hAnsi="Times New Roman" w:cs="Times New Roman"/>
                <w:sz w:val="20"/>
                <w:szCs w:val="20"/>
                <w:lang w:eastAsia="lv-LV"/>
              </w:rPr>
              <w:t>(5) daļas 4) apakšpunktā, izslēdzot izglītības programmu attiecību nosacījumu</w:t>
            </w:r>
          </w:p>
          <w:p w14:paraId="231D13E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Rezultāta rādītājs: </w:t>
            </w:r>
          </w:p>
          <w:p w14:paraId="6A65D474">
            <w:pPr>
              <w:spacing w:after="120" w:line="240" w:lineRule="auto"/>
              <w:jc w:val="both"/>
              <w:rPr>
                <w:rFonts w:ascii="Times New Roman" w:hAnsi="Times New Roman" w:cs="Times New Roman"/>
                <w:sz w:val="20"/>
                <w:szCs w:val="20"/>
              </w:rPr>
            </w:pPr>
            <w:r>
              <w:rPr>
                <w:rFonts w:ascii="Times New Roman" w:hAnsi="Times New Roman" w:cs="Times New Roman"/>
                <w:sz w:val="20"/>
                <w:szCs w:val="20"/>
                <w:lang w:eastAsia="lv-LV"/>
              </w:rPr>
              <w:t>Malnavas koledža turpina savu darbību reģionam unikālā koledžas statusā</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5F944E5D">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IZM, ZM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78F3906">
            <w:pPr>
              <w:spacing w:after="120" w:line="240" w:lineRule="auto"/>
              <w:jc w:val="center"/>
              <w:rPr>
                <w:rFonts w:ascii="Times New Roman" w:hAnsi="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C8B82F5">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31.12.2025.</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6877776A">
            <w:pPr>
              <w:spacing w:after="120" w:line="240" w:lineRule="auto"/>
              <w:rPr>
                <w:rFonts w:ascii="Times New Roman" w:hAnsi="Times New Roman" w:eastAsia="Times New Roman" w:cs="Times New Roman"/>
                <w:sz w:val="20"/>
                <w:szCs w:val="20"/>
              </w:rPr>
            </w:pPr>
            <w:r>
              <w:rPr>
                <w:rFonts w:ascii="Times New Roman" w:hAnsi="Times New Roman" w:cs="Times New Roman"/>
                <w:sz w:val="20"/>
                <w:szCs w:val="20"/>
              </w:rPr>
              <w:t>Esošā valsts budžeta finansējuma ietvaros</w:t>
            </w:r>
            <w:r>
              <w:rPr>
                <w:rFonts w:ascii="Times New Roman" w:hAnsi="Times New Roman" w:eastAsia="Times New Roman" w:cs="Times New Roman"/>
                <w:sz w:val="20"/>
                <w:szCs w:val="20"/>
              </w:rPr>
              <w:t xml:space="preserve"> </w:t>
            </w:r>
          </w:p>
          <w:p w14:paraId="4A2CF9F8">
            <w:pPr>
              <w:spacing w:after="120" w:line="240" w:lineRule="auto"/>
              <w:rPr>
                <w:rFonts w:ascii="Times New Roman" w:hAnsi="Times New Roman" w:cs="Times New Roman"/>
                <w:i/>
                <w:iCs/>
                <w:sz w:val="20"/>
                <w:szCs w:val="20"/>
              </w:rPr>
            </w:pPr>
            <w:r>
              <w:rPr>
                <w:rFonts w:ascii="Times New Roman" w:hAnsi="Times New Roman" w:cs="Times New Roman"/>
                <w:i/>
                <w:iCs/>
                <w:sz w:val="20"/>
                <w:szCs w:val="20"/>
              </w:rPr>
              <w:t>(Valsts budžets)</w:t>
            </w:r>
          </w:p>
          <w:p w14:paraId="7F2BBA6E">
            <w:pPr>
              <w:spacing w:after="0" w:line="240" w:lineRule="auto"/>
              <w:rPr>
                <w:rFonts w:ascii="Times New Roman" w:hAnsi="Times New Roman" w:eastAsia="Times New Roman" w:cs="Times New Roman"/>
                <w:sz w:val="20"/>
                <w:szCs w:val="20"/>
              </w:rPr>
            </w:pPr>
          </w:p>
        </w:tc>
      </w:tr>
      <w:tr w14:paraId="7169C991">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4F565E42">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1017278">
            <w:pPr>
              <w:pStyle w:val="15"/>
              <w:spacing w:after="0"/>
              <w:jc w:val="both"/>
              <w:rPr>
                <w:rFonts w:ascii="Times New Roman" w:hAnsi="Times New Roman" w:cs="Times New Roman"/>
              </w:rPr>
            </w:pPr>
            <w:r>
              <w:rPr>
                <w:rFonts w:ascii="Times New Roman" w:hAnsi="Times New Roman" w:cs="Times New Roman"/>
              </w:rPr>
              <w:t xml:space="preserve">Attīstīt pierobežas jauniešu Valsts aizsardzības prasmes: </w:t>
            </w:r>
          </w:p>
          <w:p w14:paraId="3F6AE311">
            <w:pPr>
              <w:spacing w:line="240" w:lineRule="auto"/>
              <w:jc w:val="both"/>
              <w:rPr>
                <w:rFonts w:ascii="Times New Roman" w:hAnsi="Times New Roman" w:cs="Times New Roman"/>
                <w:sz w:val="20"/>
                <w:szCs w:val="20"/>
              </w:rPr>
            </w:pPr>
            <w:r>
              <w:rPr>
                <w:rFonts w:ascii="Times New Roman" w:hAnsi="Times New Roman" w:cs="Times New Roman"/>
                <w:sz w:val="20"/>
                <w:szCs w:val="20"/>
              </w:rPr>
              <w:t>Organizēt Valsts aizsardzības mācības (turpmāk – VAM) vasaras nometnes austrumu pierobežā, ik gadu iesaistot ~218 VAM izglītojamos katrā nometnes vietā pēc 11. klases vai 2. vai 3. kursa. Potenciālās norises vietas: Alūksne (Lāčusila poligons), Lūznava, Daugavpils (Meža Mackeviči)</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0295DBE5">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200 jaunieši (VAM izglītojamie) apmācīti Militārā pamatkursa (turpmāk – MPK) pirmā līmenī</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16A9A8D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tiks īstenots tikai Austrumu pierobežā, rezultāti:</w:t>
            </w:r>
          </w:p>
          <w:p w14:paraId="114809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Latgales jauniešu sasnieguši MPK 1 līmeni*</w:t>
            </w:r>
          </w:p>
          <w:p w14:paraId="4A21961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200 Latgales jauniešu sasnieguši MPK 1 līmeni**</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0586D4A9">
            <w:pPr>
              <w:spacing w:after="12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Jaunsardzes centrs (turpmāk – JC)</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09910A4">
            <w:pPr>
              <w:spacing w:after="120" w:line="240" w:lineRule="auto"/>
              <w:jc w:val="center"/>
              <w:rPr>
                <w:rFonts w:ascii="Times New Roman" w:hAnsi="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B2034BA">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1C53C15">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Pasākuma, kas tiks īstenots tikai Austrumu pierobežā, finansējums:</w:t>
            </w:r>
          </w:p>
          <w:p w14:paraId="5B611EF1">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AiM esošā budžeta ietvaros</w:t>
            </w:r>
          </w:p>
          <w:p w14:paraId="37ECF55E">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JC bāzes budžets</w:t>
            </w:r>
            <w:r>
              <w:rPr>
                <w:rStyle w:val="20"/>
                <w:rFonts w:ascii="Times New Roman" w:hAnsi="Times New Roman" w:eastAsia="Times New Roman" w:cs="Times New Roman"/>
                <w:sz w:val="20"/>
                <w:szCs w:val="20"/>
              </w:rPr>
              <w:footnoteReference w:id="59"/>
            </w:r>
          </w:p>
          <w:p w14:paraId="188DED9E">
            <w:pPr>
              <w:spacing w:after="120" w:line="240" w:lineRule="auto"/>
              <w:rPr>
                <w:rFonts w:ascii="Times New Roman" w:hAnsi="Times New Roman" w:cs="Times New Roman"/>
                <w:i/>
                <w:iCs/>
                <w:sz w:val="20"/>
                <w:szCs w:val="20"/>
              </w:rPr>
            </w:pPr>
            <w:r>
              <w:rPr>
                <w:rFonts w:ascii="Times New Roman" w:hAnsi="Times New Roman" w:cs="Times New Roman"/>
                <w:i/>
                <w:iCs/>
                <w:sz w:val="20"/>
                <w:szCs w:val="20"/>
              </w:rPr>
              <w:t>(Valsts budžets)</w:t>
            </w:r>
          </w:p>
          <w:p w14:paraId="0D93928C">
            <w:pPr>
              <w:spacing w:after="120" w:line="240" w:lineRule="auto"/>
              <w:rPr>
                <w:rFonts w:ascii="Times New Roman" w:hAnsi="Times New Roman" w:eastAsia="Times New Roman" w:cs="Times New Roman"/>
                <w:sz w:val="20"/>
                <w:szCs w:val="20"/>
              </w:rPr>
            </w:pPr>
          </w:p>
        </w:tc>
      </w:tr>
      <w:tr w14:paraId="2DEF45D2">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166049CA">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6FB83DB">
            <w:pPr>
              <w:spacing w:line="240" w:lineRule="auto"/>
              <w:rPr>
                <w:rFonts w:ascii="Times New Roman" w:hAnsi="Times New Roman" w:cs="Times New Roman"/>
                <w:sz w:val="20"/>
                <w:szCs w:val="20"/>
              </w:rPr>
            </w:pPr>
            <w:r>
              <w:rPr>
                <w:rFonts w:ascii="Times New Roman" w:hAnsi="Times New Roman" w:cs="Times New Roman"/>
                <w:sz w:val="20"/>
                <w:szCs w:val="20"/>
              </w:rPr>
              <w:t>Finansēšanas modeļa “PROGRAMMA SKOLĀ” ieviešanas gaitā noteikti samazināti kvantitatīvie kritēriji skolām Austrumu pierobežā:</w:t>
            </w:r>
            <w:r>
              <w:rPr>
                <w:rFonts w:ascii="Times New Roman" w:hAnsi="Times New Roman" w:cs="Times New Roman"/>
                <w:sz w:val="20"/>
                <w:szCs w:val="20"/>
              </w:rPr>
              <w:br w:type="textWrapping"/>
            </w:r>
            <w:r>
              <w:rPr>
                <w:rFonts w:ascii="Times New Roman" w:hAnsi="Times New Roman" w:cs="Times New Roman"/>
                <w:sz w:val="20"/>
                <w:szCs w:val="20"/>
              </w:rPr>
              <w:t>Pierobežas pašvaldībās atrodošajām izglītības iestādēm, kam netiek noteikts optimālās klases kritērijs 1.-9.klašu posmā, tiks noteikts minimālais izglītojamo skaits klasē: 5 izglītojamie</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79FE283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Sniegts atbalsts ES ārējās robežas pašvaldībām izglītības jomā.  </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44F680EC">
            <w:pPr>
              <w:spacing w:after="120" w:line="240" w:lineRule="auto"/>
              <w:jc w:val="both"/>
              <w:rPr>
                <w:rFonts w:ascii="Times New Roman" w:hAnsi="Times New Roman" w:eastAsia="Times" w:cs="Times New Roman"/>
                <w:sz w:val="20"/>
                <w:szCs w:val="20"/>
              </w:rPr>
            </w:pPr>
            <w:r>
              <w:rPr>
                <w:rFonts w:ascii="Times New Roman" w:hAnsi="Times New Roman" w:eastAsia="Times" w:cs="Times New Roman"/>
                <w:sz w:val="20"/>
                <w:szCs w:val="20"/>
              </w:rPr>
              <w:t>Pasākuma, kas tiks īstenots tikai Austrumu pierobežā, rezultāti:</w:t>
            </w:r>
          </w:p>
          <w:p w14:paraId="05B5F10B">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Austrumu pierobežā izglītības iestādēm tiek noteikti samazināti kvantitatīvie kritēriji šādās klašu grupās: </w:t>
            </w:r>
          </w:p>
          <w:p w14:paraId="2FECF9BB">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1.-3.klašu grupa - 15 skolēni, </w:t>
            </w:r>
          </w:p>
          <w:p w14:paraId="31354065">
            <w:pPr>
              <w:spacing w:line="240" w:lineRule="auto"/>
              <w:jc w:val="both"/>
              <w:rPr>
                <w:rFonts w:ascii="Times New Roman" w:hAnsi="Times New Roman" w:cs="Times New Roman"/>
                <w:sz w:val="20"/>
                <w:szCs w:val="20"/>
              </w:rPr>
            </w:pPr>
            <w:r>
              <w:rPr>
                <w:rFonts w:ascii="Times New Roman" w:hAnsi="Times New Roman" w:cs="Times New Roman"/>
                <w:sz w:val="20"/>
                <w:szCs w:val="20"/>
              </w:rPr>
              <w:t>4.-6.klašu grupa - 15 skolēni,</w:t>
            </w:r>
          </w:p>
          <w:p w14:paraId="62F424C7">
            <w:pPr>
              <w:spacing w:line="240" w:lineRule="auto"/>
              <w:jc w:val="both"/>
              <w:rPr>
                <w:rFonts w:ascii="Times New Roman" w:hAnsi="Times New Roman" w:cs="Times New Roman"/>
                <w:sz w:val="20"/>
                <w:szCs w:val="20"/>
              </w:rPr>
            </w:pPr>
            <w:r>
              <w:rPr>
                <w:rFonts w:ascii="Times New Roman" w:hAnsi="Times New Roman" w:cs="Times New Roman"/>
                <w:sz w:val="20"/>
                <w:szCs w:val="20"/>
              </w:rPr>
              <w:t>7.-9.klašu grupa - 15 skolēni,</w:t>
            </w:r>
          </w:p>
          <w:p w14:paraId="42D559FB">
            <w:pPr>
              <w:spacing w:line="240" w:lineRule="auto"/>
              <w:jc w:val="both"/>
              <w:rPr>
                <w:rFonts w:ascii="Times New Roman" w:hAnsi="Times New Roman" w:cs="Times New Roman"/>
                <w:sz w:val="20"/>
                <w:szCs w:val="20"/>
              </w:rPr>
            </w:pPr>
            <w:r>
              <w:rPr>
                <w:rFonts w:ascii="Times New Roman" w:hAnsi="Times New Roman" w:cs="Times New Roman"/>
                <w:sz w:val="20"/>
                <w:szCs w:val="20"/>
              </w:rPr>
              <w:t>10.-12.klašu grupa - 45 skolēni*</w:t>
            </w:r>
          </w:p>
          <w:p w14:paraId="265AE1D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Nodrošināta izglītības pieejamība mazākapdzīvotās teritorijās**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0797A132">
            <w:pPr>
              <w:spacing w:after="12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IZM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F0FC0B2">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VARAM</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A605C14">
            <w:pPr>
              <w:spacing w:after="120" w:line="240" w:lineRule="auto"/>
              <w:jc w:val="center"/>
              <w:rPr>
                <w:rFonts w:ascii="Times New Roman" w:hAnsi="Times New Roman" w:eastAsia="Times New Roman" w:cs="Times New Roman"/>
                <w:sz w:val="20"/>
                <w:szCs w:val="20"/>
              </w:rPr>
            </w:pPr>
            <w:r>
              <w:rPr>
                <w:rFonts w:ascii="Times New Roman" w:hAnsi="Times New Roman" w:cs="Times New Roman"/>
                <w:sz w:val="20"/>
                <w:szCs w:val="20"/>
              </w:rPr>
              <w:t>Plānots ieviest no  2025.gada 1.septembra</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4D05A7B">
            <w:pPr>
              <w:spacing w:after="120"/>
              <w:rPr>
                <w:rFonts w:ascii="Times New Roman" w:hAnsi="Times New Roman" w:cs="Times New Roman"/>
                <w:sz w:val="20"/>
                <w:szCs w:val="20"/>
              </w:rPr>
            </w:pPr>
            <w:r>
              <w:rPr>
                <w:rFonts w:ascii="Times New Roman" w:hAnsi="Times New Roman" w:cs="Times New Roman"/>
                <w:sz w:val="20"/>
                <w:szCs w:val="20"/>
              </w:rPr>
              <w:t xml:space="preserve">Kopējās izmaksas gadam ir 103 404 659 euro, tai skaitā finansējums Austrumu pierobežā 14 312 698 euro. </w:t>
            </w:r>
          </w:p>
          <w:p w14:paraId="582C108D">
            <w:pPr>
              <w:spacing w:after="120"/>
              <w:rPr>
                <w:rFonts w:ascii="Times New Roman" w:hAnsi="Times New Roman" w:cs="Times New Roman"/>
                <w:sz w:val="20"/>
                <w:szCs w:val="20"/>
              </w:rPr>
            </w:pPr>
            <w:r>
              <w:rPr>
                <w:rFonts w:ascii="Times New Roman" w:hAnsi="Times New Roman" w:cs="Times New Roman"/>
                <w:sz w:val="20"/>
                <w:szCs w:val="20"/>
              </w:rPr>
              <w:t>Šobrīd modelim daļa finansējuma  2025. gadam ir rezervēta budžeta resorā "74. Gadskārtējā valsts budžeta izpildes procesā pārdalāmais finansējums".</w:t>
            </w:r>
            <w:r>
              <w:rPr>
                <w:rStyle w:val="20"/>
                <w:rFonts w:ascii="Times New Roman" w:hAnsi="Times New Roman" w:cs="Times New Roman"/>
                <w:sz w:val="20"/>
                <w:szCs w:val="20"/>
              </w:rPr>
              <w:footnoteReference w:id="60"/>
            </w:r>
          </w:p>
          <w:p w14:paraId="2D83D255">
            <w:pPr>
              <w:spacing w:after="120"/>
              <w:rPr>
                <w:rFonts w:ascii="Times New Roman" w:hAnsi="Times New Roman" w:cs="Times New Roman"/>
                <w:i/>
                <w:iCs/>
                <w:sz w:val="20"/>
                <w:szCs w:val="20"/>
              </w:rPr>
            </w:pPr>
            <w:r>
              <w:rPr>
                <w:rFonts w:ascii="Times New Roman" w:hAnsi="Times New Roman" w:cs="Times New Roman"/>
                <w:i/>
                <w:iCs/>
                <w:sz w:val="20"/>
                <w:szCs w:val="20"/>
              </w:rPr>
              <w:t>(Valsts budžets)</w:t>
            </w:r>
          </w:p>
          <w:p w14:paraId="5DB96F4A">
            <w:pPr>
              <w:spacing w:after="120" w:line="240" w:lineRule="auto"/>
              <w:rPr>
                <w:rFonts w:ascii="Times New Roman" w:hAnsi="Times New Roman" w:eastAsia="Times New Roman" w:cs="Times New Roman"/>
                <w:sz w:val="20"/>
                <w:szCs w:val="20"/>
              </w:rPr>
            </w:pPr>
          </w:p>
        </w:tc>
      </w:tr>
      <w:tr w14:paraId="6A85079E">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257B801C">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0851B0F">
            <w:pPr>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5.2.1.1.i. investīcija ”Pētniecības, attīstības un konsolidācijas granti” otrās kārta ”Konsolidācijas un pārvaldības izmaiņu ieviešanas granti”</w:t>
            </w:r>
          </w:p>
          <w:p w14:paraId="0D6BC094">
            <w:pPr>
              <w:spacing w:line="240" w:lineRule="auto"/>
              <w:jc w:val="both"/>
              <w:rPr>
                <w:rFonts w:ascii="Times New Roman" w:hAnsi="Times New Roman" w:cs="Times New Roman"/>
                <w:sz w:val="20"/>
                <w:szCs w:val="20"/>
              </w:rPr>
            </w:pPr>
          </w:p>
          <w:p w14:paraId="0DEE7B3B">
            <w:pPr>
              <w:pStyle w:val="15"/>
              <w:spacing w:after="120"/>
              <w:jc w:val="both"/>
              <w:rPr>
                <w:rFonts w:ascii="Times New Roman" w:hAnsi="Times New Roman" w:eastAsia="Calibri" w:cs="Times New Roman"/>
                <w:kern w:val="0"/>
                <w:lang w:eastAsia="zh-CN" w:bidi="hi-IN"/>
                <w14:ligatures w14:val="none"/>
              </w:rPr>
            </w:pP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10FA3DBC">
            <w:pPr>
              <w:pStyle w:val="52"/>
              <w:numPr>
                <w:ilvl w:val="0"/>
                <w:numId w:val="20"/>
              </w:numPr>
              <w:spacing w:after="120" w:line="240" w:lineRule="auto"/>
              <w:ind w:left="167" w:hanging="167"/>
              <w:jc w:val="both"/>
              <w:rPr>
                <w:rFonts w:ascii="Times New Roman" w:hAnsi="Times New Roman" w:eastAsia="Times New Roman" w:cs="Times New Roman"/>
                <w:sz w:val="20"/>
                <w:szCs w:val="20"/>
              </w:rPr>
            </w:pPr>
            <w:r>
              <w:rPr>
                <w:rFonts w:ascii="Times New Roman" w:hAnsi="Times New Roman" w:cs="Times New Roman"/>
                <w:sz w:val="20"/>
                <w:szCs w:val="20"/>
              </w:rPr>
              <w:t xml:space="preserve"> Rēzeknes Tehnoloģiju akadēmijas integrācija Rīgas Tehniskās universitātes ekosistēmā; STEM un pedagogu sagatavošanas programmu kvalitātes uzlabošana, izmantojot ANM granta atbalstu un koplietojot resursus RTU ietvaros.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6F2E821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Pasākuma, kas tiks īstenots tikai Austrumu pierobežā, rezultāti:</w:t>
            </w:r>
          </w:p>
          <w:p w14:paraId="3E80039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4 jaunas studiju programmas - vides un klimata jautājumos, digitālās pedagoģijas didaktikas, mehānikas inženieris un biotehnoloģiju jomās*</w:t>
            </w:r>
          </w:p>
          <w:p w14:paraId="6B1F0AB8">
            <w:pPr>
              <w:spacing w:line="240" w:lineRule="auto"/>
              <w:jc w:val="both"/>
              <w:rPr>
                <w:rFonts w:ascii="Times New Roman" w:hAnsi="Times New Roman" w:cs="Times New Roman"/>
                <w:sz w:val="20"/>
                <w:szCs w:val="20"/>
              </w:rPr>
            </w:pPr>
            <w:r>
              <w:rPr>
                <w:rFonts w:ascii="Times New Roman" w:hAnsi="Times New Roman" w:cs="Times New Roman"/>
                <w:sz w:val="20"/>
                <w:szCs w:val="20"/>
              </w:rPr>
              <w:t>Doktorantūras granti RTU/RTA - 14/7, postdoktorantūras granti RTU/RTA - 6/3, zinātnieku granti RTU/RTA - 8/4, iekšējie pētniecības granti RTU/RTA -  8/4**</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20EB223E">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IZM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78D5F7D">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CFLA</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14CCFC5">
            <w:pPr>
              <w:spacing w:line="240" w:lineRule="auto"/>
              <w:jc w:val="center"/>
              <w:rPr>
                <w:rFonts w:ascii="Times New Roman" w:hAnsi="Times New Roman" w:eastAsia="Times" w:cs="Times New Roman"/>
                <w:sz w:val="20"/>
                <w:szCs w:val="20"/>
              </w:rPr>
            </w:pPr>
            <w:r>
              <w:rPr>
                <w:rFonts w:ascii="Times New Roman" w:hAnsi="Times New Roman" w:eastAsia="Times" w:cs="Times New Roman"/>
                <w:sz w:val="20"/>
                <w:szCs w:val="20"/>
              </w:rPr>
              <w:t>2026.g.</w:t>
            </w:r>
          </w:p>
          <w:p w14:paraId="05953CBE">
            <w:pPr>
              <w:spacing w:after="120" w:line="240" w:lineRule="auto"/>
              <w:jc w:val="center"/>
              <w:rPr>
                <w:rFonts w:ascii="Times New Roman" w:hAnsi="Times New Roman" w:cs="Times New Roman"/>
                <w:sz w:val="20"/>
                <w:szCs w:val="20"/>
              </w:rPr>
            </w:pPr>
            <w:r>
              <w:rPr>
                <w:rFonts w:ascii="Times New Roman" w:hAnsi="Times New Roman" w:eastAsia="Times" w:cs="Times New Roman"/>
                <w:sz w:val="20"/>
                <w:szCs w:val="20"/>
              </w:rPr>
              <w:t>maijs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250D564">
            <w:pPr>
              <w:spacing w:after="120" w:line="240" w:lineRule="auto"/>
              <w:rPr>
                <w:rFonts w:ascii="Times New Roman" w:hAnsi="Times New Roman" w:eastAsia="Times" w:cs="Times New Roman"/>
                <w:sz w:val="20"/>
                <w:szCs w:val="20"/>
              </w:rPr>
            </w:pPr>
            <w:r>
              <w:rPr>
                <w:rFonts w:ascii="Times New Roman" w:hAnsi="Times New Roman" w:eastAsia="Times" w:cs="Times New Roman"/>
                <w:sz w:val="20"/>
                <w:szCs w:val="20"/>
              </w:rPr>
              <w:t>Pasākuma, kas tiks īstenots tikai Austrumu pierobežā, finansējums:</w:t>
            </w:r>
          </w:p>
          <w:p w14:paraId="7231F24A">
            <w:pPr>
              <w:spacing w:after="120" w:line="240" w:lineRule="auto"/>
              <w:rPr>
                <w:rFonts w:ascii="Times New Roman" w:hAnsi="Times New Roman" w:eastAsia="Times" w:cs="Times New Roman"/>
                <w:sz w:val="20"/>
                <w:szCs w:val="20"/>
              </w:rPr>
            </w:pPr>
            <w:r>
              <w:rPr>
                <w:rFonts w:ascii="Times New Roman" w:hAnsi="Times New Roman" w:eastAsia="Times" w:cs="Times New Roman"/>
                <w:sz w:val="20"/>
                <w:szCs w:val="20"/>
              </w:rPr>
              <w:t xml:space="preserve">7 186 042 </w:t>
            </w:r>
            <w:r>
              <w:rPr>
                <w:rFonts w:ascii="Times New Roman" w:hAnsi="Times New Roman" w:eastAsia="Times" w:cs="Times New Roman"/>
                <w:i/>
                <w:iCs/>
                <w:sz w:val="20"/>
                <w:szCs w:val="20"/>
              </w:rPr>
              <w:t>euro</w:t>
            </w:r>
            <w:r>
              <w:rPr>
                <w:rFonts w:ascii="Times New Roman" w:hAnsi="Times New Roman" w:eastAsia="Times" w:cs="Times New Roman"/>
                <w:sz w:val="20"/>
                <w:szCs w:val="20"/>
              </w:rPr>
              <w:t xml:space="preserve"> </w:t>
            </w:r>
          </w:p>
          <w:p w14:paraId="49480217">
            <w:pPr>
              <w:spacing w:after="120" w:line="240" w:lineRule="auto"/>
              <w:rPr>
                <w:rFonts w:ascii="Times New Roman" w:hAnsi="Times New Roman" w:cs="Times New Roman"/>
                <w:sz w:val="20"/>
                <w:szCs w:val="20"/>
              </w:rPr>
            </w:pPr>
            <w:r>
              <w:rPr>
                <w:rFonts w:ascii="Times New Roman" w:hAnsi="Times New Roman" w:eastAsia="Times" w:cs="Times New Roman"/>
                <w:i/>
                <w:iCs/>
                <w:sz w:val="20"/>
                <w:szCs w:val="20"/>
              </w:rPr>
              <w:t>(ES fondi: Atjaunošanas un noturības mehānisms)</w:t>
            </w:r>
          </w:p>
        </w:tc>
      </w:tr>
      <w:tr w14:paraId="038F2131">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12801CBE">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7DB64C9">
            <w:pPr>
              <w:pStyle w:val="15"/>
              <w:spacing w:after="120"/>
              <w:jc w:val="both"/>
              <w:rPr>
                <w:rFonts w:ascii="Times New Roman" w:hAnsi="Times New Roman" w:eastAsia="Calibri" w:cs="Times New Roman"/>
                <w:kern w:val="0"/>
                <w:lang w:eastAsia="zh-CN" w:bidi="hi-IN"/>
                <w14:ligatures w14:val="none"/>
              </w:rPr>
            </w:pPr>
            <w:r>
              <w:rPr>
                <w:rFonts w:ascii="Times New Roman" w:hAnsi="Times New Roman" w:cs="Times New Roman" w:eastAsiaTheme="minorEastAsia"/>
              </w:rPr>
              <w:t>2.3.2.3.i. investīcija "Digitālās plaisas mazināšana sociāli neaizsargātajām grupām un izglītības iestādēs"</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16B662F7">
            <w:pPr>
              <w:spacing w:line="240" w:lineRule="auto"/>
              <w:jc w:val="both"/>
            </w:pPr>
            <w:r>
              <w:rPr>
                <w:rFonts w:ascii="Times New Roman" w:hAnsi="Times New Roman" w:cs="Times New Roman" w:eastAsiaTheme="minorEastAsia"/>
                <w:sz w:val="20"/>
                <w:szCs w:val="20"/>
              </w:rPr>
              <w:t>Investīcijas mērķis ir mazināt šķēršļus vispārējās izglītības satura apguvei: 1. nodrošinot portatīvās datortehnikas pieejamību izglītojamiem no sociāli neaizsargātām grupām; 2. nodrošinot datu pārraides pieejamību kvalitatīvai, jēgpilnai un plānveidīgai digitālo tehnoloģiju izmantošanai mācību procesā.</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9F03862">
            <w:pPr>
              <w:spacing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Rezultāti visā Latvijā:</w:t>
            </w:r>
          </w:p>
          <w:p w14:paraId="2D318F00">
            <w:pPr>
              <w:spacing w:line="240" w:lineRule="auto"/>
              <w:jc w:val="both"/>
              <w:rPr>
                <w:rFonts w:ascii="Times New Roman" w:hAnsi="Times New Roman" w:eastAsia="Times New Roman" w:cs="Times New Roman"/>
                <w:sz w:val="20"/>
                <w:szCs w:val="20"/>
              </w:rPr>
            </w:pPr>
            <w:r>
              <w:rPr>
                <w:rFonts w:ascii="Times New Roman" w:hAnsi="Times New Roman" w:cs="Times New Roman" w:eastAsiaTheme="minorEastAsia"/>
                <w:sz w:val="20"/>
                <w:szCs w:val="20"/>
              </w:rPr>
              <w:t xml:space="preserve">Piesaistīts finansējums digitālās plaisas mazināšanai sociāli neaizsargātajām grupām un izglītības iestādēs - </w:t>
            </w:r>
            <w:r>
              <w:rPr>
                <w:rFonts w:ascii="Times New Roman" w:hAnsi="Times New Roman" w:eastAsia="Times New Roman" w:cs="Times New Roman"/>
                <w:sz w:val="20"/>
                <w:szCs w:val="20"/>
              </w:rPr>
              <w:t xml:space="preserve">18 090 300 euro* </w:t>
            </w:r>
          </w:p>
          <w:p w14:paraId="249CE4E3">
            <w:pPr>
              <w:spacing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Nodrošinātas vismaz 26 620 IKT aprīkojuma vienības mērķa grupai (izglītojamiem)** </w:t>
            </w:r>
          </w:p>
          <w:p w14:paraId="75D89D77">
            <w:pPr>
              <w:spacing w:after="120"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Veikts datu apkopojums un analīze par interneta datu pārraides jaudas problēmām un vajadzībām izglītības iestādēs un sagatavoti priekšlikumi datu pārraides iespēju pilnveidošanai, tostarp izglītības iestāžu iekštīkla funkcionēšanas uzlabojumiem (priekšizpēte)**</w:t>
            </w:r>
          </w:p>
          <w:p w14:paraId="2BF4313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w:t>
            </w:r>
          </w:p>
          <w:p w14:paraId="6DFF5F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Nav atsevišķi izdalāmi (sk. zemsvītras piezīmi kolonnā “Finansējums”).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78FD575A">
            <w:pPr>
              <w:spacing w:after="120" w:line="240" w:lineRule="auto"/>
              <w:jc w:val="center"/>
              <w:rPr>
                <w:rFonts w:ascii="Times New Roman" w:hAnsi="Times New Roman" w:eastAsia="Times New Roman" w:cs="Times New Roman"/>
                <w:sz w:val="20"/>
                <w:szCs w:val="20"/>
              </w:rPr>
            </w:pPr>
            <w:r>
              <w:rPr>
                <w:rFonts w:ascii="Times New Roman" w:hAnsi="Times New Roman" w:cs="Times New Roman" w:eastAsiaTheme="minorEastAsia"/>
                <w:sz w:val="20"/>
                <w:szCs w:val="20"/>
              </w:rPr>
              <w:t>IZM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A0D07B7">
            <w:pPr>
              <w:spacing w:after="120" w:line="240" w:lineRule="auto"/>
              <w:jc w:val="center"/>
              <w:rPr>
                <w:rFonts w:ascii="Times New Roman" w:hAnsi="Times New Roman" w:cs="Times New Roman"/>
                <w:sz w:val="20"/>
                <w:szCs w:val="20"/>
              </w:rPr>
            </w:pPr>
            <w:r>
              <w:rPr>
                <w:rFonts w:ascii="Times New Roman" w:hAnsi="Times New Roman" w:cs="Times New Roman" w:eastAsiaTheme="minorEastAsia"/>
                <w:sz w:val="20"/>
                <w:szCs w:val="20"/>
              </w:rPr>
              <w:t>Pašvaldības un profesionālās izglītības iestādes</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0EDC03C">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2026    II      pusgads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85AD883">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1A56DB72">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18 090 300 euro </w:t>
            </w:r>
          </w:p>
          <w:p w14:paraId="017DD27E">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Finansējums Austrumu pierobežā:</w:t>
            </w:r>
          </w:p>
          <w:p w14:paraId="5A60365C">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Austrumu pierobežai noteikts finansējuma apjoms nav iezīmēts</w:t>
            </w:r>
            <w:r>
              <w:rPr>
                <w:rStyle w:val="20"/>
                <w:rFonts w:ascii="Times New Roman" w:hAnsi="Times New Roman" w:eastAsia="Times New Roman" w:cs="Times New Roman"/>
                <w:sz w:val="20"/>
                <w:szCs w:val="20"/>
              </w:rPr>
              <w:footnoteReference w:id="61"/>
            </w:r>
          </w:p>
          <w:p w14:paraId="4BF4A5F2">
            <w:pPr>
              <w:spacing w:after="120" w:line="240" w:lineRule="auto"/>
              <w:rPr>
                <w:rFonts w:ascii="Times New Roman" w:hAnsi="Times New Roman" w:cs="Times New Roman"/>
                <w:i/>
                <w:sz w:val="20"/>
                <w:szCs w:val="20"/>
              </w:rPr>
            </w:pPr>
            <w:r>
              <w:rPr>
                <w:rFonts w:ascii="Times New Roman" w:hAnsi="Times New Roman" w:eastAsia="Times New Roman" w:cs="Times New Roman"/>
                <w:i/>
                <w:iCs/>
                <w:sz w:val="20"/>
                <w:szCs w:val="20"/>
              </w:rPr>
              <w:t>(ES fondi: Atjaunošanas un noturības mehānisms)</w:t>
            </w:r>
          </w:p>
        </w:tc>
      </w:tr>
      <w:tr w14:paraId="5E7D47E1">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46984F0C">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C1D5274">
            <w:pPr>
              <w:pStyle w:val="15"/>
              <w:spacing w:after="120"/>
              <w:jc w:val="both"/>
              <w:rPr>
                <w:rFonts w:ascii="Times New Roman" w:hAnsi="Times New Roman" w:eastAsia="Calibri" w:cs="Times New Roman"/>
                <w:kern w:val="0"/>
                <w:lang w:eastAsia="zh-CN" w:bidi="hi-IN"/>
                <w14:ligatures w14:val="none"/>
              </w:rPr>
            </w:pPr>
            <w:r>
              <w:rPr>
                <w:rFonts w:ascii="Times New Roman" w:hAnsi="Times New Roman" w:eastAsia="Times New Roman" w:cs="Times New Roman"/>
              </w:rPr>
              <w:t>3.1.1.5.i investīcija "Izglītības iestāžu infrastruktūras pilnveide un aprīkošana"</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6BF116D6">
            <w:pPr>
              <w:pStyle w:val="52"/>
              <w:numPr>
                <w:ilvl w:val="0"/>
                <w:numId w:val="20"/>
              </w:numPr>
              <w:spacing w:after="120" w:line="240" w:lineRule="auto"/>
              <w:ind w:left="167" w:hanging="167"/>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uzlabot vispārējās izglītības iestāžu mācību vidi, nodrošinot efektīvu resursu koncentrāciju un izmantošanu un stiprinot visaptveroša pašvaldību izglītības iestāžu tīkla sakārtošanas rezultātā izveidotās pamatskolas, tādējādi veicinot kvalitatīvas izglītības ieguvi ārpus novadu pašvaldību administratīvajiem centriem.</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01CC680">
            <w:pPr>
              <w:spacing w:line="240" w:lineRule="auto"/>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Rezultāti visā Latvijā:</w:t>
            </w:r>
          </w:p>
          <w:p w14:paraId="7042A5F8">
            <w:pPr>
              <w:spacing w:line="240" w:lineRule="auto"/>
              <w:jc w:val="both"/>
              <w:rPr>
                <w:rFonts w:ascii="Times New Roman" w:hAnsi="Times New Roman" w:eastAsia="Times New Roman" w:cs="Times New Roman"/>
                <w:sz w:val="20"/>
                <w:szCs w:val="20"/>
              </w:rPr>
            </w:pPr>
            <w:r>
              <w:rPr>
                <w:rFonts w:ascii="Times New Roman" w:hAnsi="Times New Roman" w:cs="Times New Roman" w:eastAsiaTheme="minorEastAsia"/>
                <w:sz w:val="20"/>
                <w:szCs w:val="20"/>
              </w:rPr>
              <w:t xml:space="preserve">Piesaistīts finansējums izglītības iestāžu infrastruktūras pilnveidei un aprīkošanai - </w:t>
            </w:r>
            <w:r>
              <w:rPr>
                <w:rFonts w:ascii="Times New Roman" w:hAnsi="Times New Roman" w:eastAsia="Times New Roman" w:cs="Times New Roman"/>
                <w:sz w:val="20"/>
                <w:szCs w:val="20"/>
              </w:rPr>
              <w:t>31 890 739 euro*</w:t>
            </w:r>
          </w:p>
          <w:p w14:paraId="63D3B72F">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Pilnveidota un aprīkota infrastruktūra 21 pašvaldību dibinātā vispārējās izglītības iestādē**</w:t>
            </w:r>
          </w:p>
          <w:p w14:paraId="19F5A75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Rezultāti Austrumu pierobežā (pēc fakta, nevis plānotais)</w:t>
            </w:r>
            <w:r>
              <w:rPr>
                <w:rStyle w:val="20"/>
                <w:rFonts w:ascii="Times New Roman" w:hAnsi="Times New Roman" w:cs="Times New Roman"/>
                <w:sz w:val="20"/>
                <w:szCs w:val="20"/>
              </w:rPr>
              <w:footnoteReference w:id="62"/>
            </w:r>
            <w:r>
              <w:rPr>
                <w:rFonts w:ascii="Times New Roman" w:hAnsi="Times New Roman" w:cs="Times New Roman"/>
                <w:sz w:val="20"/>
                <w:szCs w:val="20"/>
              </w:rPr>
              <w:t>:</w:t>
            </w:r>
          </w:p>
          <w:p w14:paraId="51A85E70">
            <w:pPr>
              <w:spacing w:line="240" w:lineRule="auto"/>
              <w:jc w:val="both"/>
              <w:rPr>
                <w:rFonts w:ascii="Times New Roman" w:hAnsi="Times New Roman" w:eastAsia="Times New Roman" w:cs="Times New Roman"/>
                <w:sz w:val="20"/>
                <w:szCs w:val="20"/>
              </w:rPr>
            </w:pPr>
            <w:r>
              <w:rPr>
                <w:rFonts w:ascii="Times New Roman" w:hAnsi="Times New Roman" w:cs="Times New Roman" w:eastAsiaTheme="minorEastAsia"/>
                <w:sz w:val="20"/>
                <w:szCs w:val="20"/>
              </w:rPr>
              <w:t xml:space="preserve">Piesaistīts finansējums izglītības iestāžu infrastruktūras pilnveidei un aprīkošanai - </w:t>
            </w:r>
            <w:r>
              <w:rPr>
                <w:rFonts w:ascii="Times New Roman" w:hAnsi="Times New Roman" w:eastAsia="Times New Roman" w:cs="Times New Roman"/>
                <w:sz w:val="20"/>
                <w:szCs w:val="20"/>
              </w:rPr>
              <w:t>0 euro*</w:t>
            </w:r>
          </w:p>
          <w:p w14:paraId="1B0602C2">
            <w:pPr>
              <w:spacing w:after="120" w:line="240" w:lineRule="auto"/>
              <w:jc w:val="both"/>
              <w:rPr>
                <w:rFonts w:ascii="Times New Roman" w:hAnsi="Times New Roman" w:eastAsia="Times New Roman" w:cs="Times New Roman"/>
                <w:sz w:val="20"/>
                <w:szCs w:val="20"/>
              </w:rPr>
            </w:pPr>
            <w:r>
              <w:rPr>
                <w:rFonts w:ascii="Times New Roman" w:hAnsi="Times New Roman" w:cs="Times New Roman"/>
                <w:sz w:val="20"/>
                <w:szCs w:val="20"/>
              </w:rPr>
              <w:t>Pilnveidota un aprīkota infrastruktūra 0 pašvaldību dibinātā vispārējās izglītības iestādē**</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50A49F6C">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IZM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5684CEFF">
            <w:pPr>
              <w:spacing w:after="120" w:line="240" w:lineRule="auto"/>
              <w:jc w:val="center"/>
              <w:rPr>
                <w:rFonts w:ascii="Times New Roman" w:hAnsi="Times New Roman" w:cs="Times New Roman"/>
                <w:sz w:val="20"/>
                <w:szCs w:val="20"/>
              </w:rPr>
            </w:pPr>
            <w:r>
              <w:rPr>
                <w:rFonts w:ascii="Times New Roman" w:hAnsi="Times New Roman" w:eastAsia="Times New Roman" w:cs="Times New Roman"/>
                <w:sz w:val="20"/>
                <w:szCs w:val="20"/>
              </w:rPr>
              <w:t xml:space="preserve">Pašvaldības </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005E188">
            <w:pPr>
              <w:spacing w:after="120" w:line="240" w:lineRule="auto"/>
              <w:jc w:val="center"/>
              <w:rPr>
                <w:rFonts w:ascii="Times New Roman" w:hAnsi="Times New Roman" w:cs="Times New Roman"/>
                <w:sz w:val="20"/>
                <w:szCs w:val="20"/>
              </w:rPr>
            </w:pPr>
            <w:r>
              <w:rPr>
                <w:rFonts w:ascii="Times New Roman" w:hAnsi="Times New Roman" w:cs="Times New Roman" w:eastAsiaTheme="minorEastAsia"/>
                <w:sz w:val="20"/>
                <w:szCs w:val="20"/>
              </w:rPr>
              <w:t>2026 II pusgads</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14FE88E2">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33843F1E">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31 890 739 euro</w:t>
            </w:r>
          </w:p>
          <w:p w14:paraId="265242AE">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Finansējums Austrumu pierobežā:</w:t>
            </w:r>
          </w:p>
          <w:p w14:paraId="3CD4D6DE">
            <w:pPr>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0 </w:t>
            </w:r>
            <w:r>
              <w:rPr>
                <w:rFonts w:ascii="Times New Roman" w:hAnsi="Times New Roman" w:cs="Times New Roman"/>
                <w:sz w:val="20"/>
                <w:szCs w:val="20"/>
              </w:rPr>
              <w:t>(pēc fakta, nevis plānotais) (sk. 61.zemsvītras piezīmi)</w:t>
            </w:r>
          </w:p>
          <w:p w14:paraId="3CA9F087">
            <w:pPr>
              <w:spacing w:after="120" w:line="240" w:lineRule="auto"/>
              <w:rPr>
                <w:rFonts w:ascii="Times New Roman" w:hAnsi="Times New Roman" w:cs="Times New Roman"/>
                <w:sz w:val="20"/>
                <w:szCs w:val="20"/>
              </w:rPr>
            </w:pPr>
            <w:r>
              <w:rPr>
                <w:rFonts w:ascii="Times New Roman" w:hAnsi="Times New Roman" w:eastAsia="Times New Roman" w:cs="Times New Roman"/>
                <w:i/>
                <w:iCs/>
                <w:sz w:val="20"/>
                <w:szCs w:val="20"/>
              </w:rPr>
              <w:t>(ES fondi: Atjaunošanas un noturības mehānisms)</w:t>
            </w:r>
          </w:p>
        </w:tc>
      </w:tr>
      <w:tr w14:paraId="38C9E626">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72B5F655">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9B81456">
            <w:pPr>
              <w:pStyle w:val="15"/>
              <w:spacing w:after="120"/>
              <w:jc w:val="both"/>
              <w:rPr>
                <w:rFonts w:ascii="Times New Roman" w:hAnsi="Times New Roman" w:eastAsia="Times New Roman" w:cs="Times New Roman"/>
              </w:rPr>
            </w:pPr>
            <w:r>
              <w:rPr>
                <w:rFonts w:ascii="Times New Roman" w:hAnsi="Times New Roman" w:eastAsia="Times New Roman" w:cs="Times New Roman"/>
              </w:rPr>
              <w:t>Atbalsts jaunatnes politikas īstenošanai vietējā līmenī</w:t>
            </w:r>
            <w:r>
              <w:rPr>
                <w:rStyle w:val="20"/>
                <w:rFonts w:ascii="Times New Roman" w:hAnsi="Times New Roman" w:eastAsia="Times New Roman" w:cs="Times New Roman"/>
              </w:rPr>
              <w:footnoteReference w:id="63"/>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35F11204">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Atbalstīta jaunatnes politikas attīstība vietējā līmenī, veicinot kvalitatīvas un ilgtspējīgas darba ar jaunatni sistēmas izveidi/pilnveidi pašvaldībās</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2FFA628D">
            <w:pPr>
              <w:spacing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Rezultāti visā Latvijā: </w:t>
            </w:r>
          </w:p>
          <w:p w14:paraId="33A39344">
            <w:pPr>
              <w:spacing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Atbalstīti pašvaldību īstenotie projekti jaunatnes politikas attīstībai vietējā līmenī – 16 projekti 2025.g un 16 projekti 2026.g., kopā 32 projekti</w:t>
            </w:r>
            <w:r>
              <w:rPr>
                <w:rStyle w:val="20"/>
                <w:rFonts w:ascii="Times New Roman" w:hAnsi="Times New Roman" w:cs="Times New Roman"/>
                <w:sz w:val="20"/>
                <w:szCs w:val="20"/>
                <w:lang w:val="en-GB"/>
              </w:rPr>
              <w:footnoteReference w:id="64"/>
            </w:r>
          </w:p>
          <w:p w14:paraId="25555B97">
            <w:pPr>
              <w:spacing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Rezultāti Austrumu pierobežā:</w:t>
            </w:r>
          </w:p>
          <w:p w14:paraId="7C4CF712">
            <w:pPr>
              <w:spacing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Atbalstīti pašvaldību īstenotie projekti jaunatnes politikas attīstībai vietējā līmenī – vismaz 4 projekti gadā, kopā 8 projekti</w:t>
            </w:r>
            <w:r>
              <w:rPr>
                <w:rStyle w:val="20"/>
                <w:rFonts w:ascii="Times New Roman" w:hAnsi="Times New Roman" w:cs="Times New Roman"/>
                <w:sz w:val="20"/>
                <w:szCs w:val="20"/>
                <w:lang w:val="en-GB"/>
              </w:rPr>
              <w:footnoteReference w:id="65"/>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2FAF62A7">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IZM, JSPA</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766876E8">
            <w:pPr>
              <w:spacing w:after="120" w:line="240" w:lineRule="auto"/>
              <w:jc w:val="center"/>
              <w:rPr>
                <w:rFonts w:ascii="Times New Roman" w:hAnsi="Times New Roman" w:eastAsia="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20A6A51C">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2024-2026</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4E1577D7">
            <w:pPr>
              <w:pStyle w:val="138"/>
              <w:spacing w:after="120"/>
              <w:rPr>
                <w:rFonts w:ascii="Times New Roman" w:hAnsi="Times New Roman" w:cs="Times New Roman"/>
                <w:sz w:val="20"/>
                <w:szCs w:val="20"/>
              </w:rPr>
            </w:pPr>
            <w:r>
              <w:rPr>
                <w:rFonts w:ascii="Times New Roman" w:hAnsi="Times New Roman" w:cs="Times New Roman"/>
                <w:sz w:val="20"/>
                <w:szCs w:val="20"/>
              </w:rPr>
              <w:t>Kopējais finansējums visā Latvijā:</w:t>
            </w:r>
          </w:p>
          <w:p w14:paraId="1F1E8B4F">
            <w:pPr>
              <w:pStyle w:val="138"/>
              <w:spacing w:after="120"/>
            </w:pPr>
            <w:r>
              <w:rPr>
                <w:rFonts w:ascii="Times New Roman" w:hAnsi="Times New Roman" w:cs="Times New Roman"/>
                <w:sz w:val="20"/>
                <w:szCs w:val="20"/>
              </w:rPr>
              <w:t xml:space="preserve">160 000 EUR/gadā, kopā 320 000 </w:t>
            </w:r>
            <w:r>
              <w:rPr>
                <w:rFonts w:ascii="Times New Roman" w:hAnsi="Times New Roman" w:cs="Times New Roman"/>
                <w:i/>
                <w:sz w:val="20"/>
                <w:szCs w:val="20"/>
              </w:rPr>
              <w:t>euro</w:t>
            </w:r>
            <w:r>
              <w:rPr>
                <w:rStyle w:val="20"/>
                <w:rFonts w:ascii="Times New Roman" w:hAnsi="Times New Roman" w:cs="Times New Roman"/>
                <w:sz w:val="20"/>
                <w:szCs w:val="20"/>
              </w:rPr>
              <w:footnoteReference w:id="66"/>
            </w:r>
          </w:p>
          <w:p w14:paraId="71D31084">
            <w:pPr>
              <w:pStyle w:val="138"/>
              <w:spacing w:after="160" w:line="252" w:lineRule="auto"/>
              <w:rPr>
                <w:rFonts w:ascii="Times New Roman" w:hAnsi="Times New Roman" w:cs="Times New Roman"/>
                <w:sz w:val="20"/>
                <w:szCs w:val="20"/>
              </w:rPr>
            </w:pPr>
            <w:r>
              <w:rPr>
                <w:rFonts w:ascii="Times New Roman" w:hAnsi="Times New Roman" w:cs="Times New Roman"/>
                <w:sz w:val="20"/>
                <w:szCs w:val="20"/>
              </w:rPr>
              <w:t>Finansējums Austrumu pierobežā:</w:t>
            </w:r>
          </w:p>
          <w:p w14:paraId="3418DC58">
            <w:pPr>
              <w:rPr>
                <w:rFonts w:ascii="Times New Roman" w:hAnsi="Times New Roman" w:eastAsia="Times New Roman" w:cs="Times New Roman"/>
                <w:sz w:val="20"/>
                <w:szCs w:val="20"/>
              </w:rPr>
            </w:pPr>
            <w:r>
              <w:rPr>
                <w:rFonts w:ascii="Times New Roman" w:hAnsi="Times New Roman" w:cs="Times New Roman"/>
                <w:sz w:val="20"/>
                <w:szCs w:val="20"/>
              </w:rPr>
              <w:t xml:space="preserve">Atbilstoši pašvaldību interesei, aptuveni 40 000 </w:t>
            </w:r>
            <w:r>
              <w:rPr>
                <w:rFonts w:ascii="Times New Roman" w:hAnsi="Times New Roman" w:cs="Times New Roman"/>
                <w:i/>
                <w:sz w:val="20"/>
                <w:szCs w:val="20"/>
              </w:rPr>
              <w:t>euro</w:t>
            </w:r>
            <w:r>
              <w:rPr>
                <w:rFonts w:ascii="Times New Roman" w:hAnsi="Times New Roman" w:cs="Times New Roman"/>
                <w:sz w:val="20"/>
                <w:szCs w:val="20"/>
              </w:rPr>
              <w:t xml:space="preserve">/gadā, kopā 80 000 </w:t>
            </w:r>
            <w:r>
              <w:rPr>
                <w:rFonts w:ascii="Times New Roman" w:hAnsi="Times New Roman" w:cs="Times New Roman"/>
                <w:i/>
                <w:sz w:val="20"/>
                <w:szCs w:val="20"/>
              </w:rPr>
              <w:t>euro</w:t>
            </w:r>
            <w:r>
              <w:rPr>
                <w:rFonts w:ascii="Times New Roman" w:hAnsi="Times New Roman" w:cs="Times New Roman"/>
                <w:sz w:val="20"/>
                <w:szCs w:val="20"/>
              </w:rPr>
              <w:t> </w:t>
            </w:r>
            <w:r>
              <w:rPr>
                <w:rStyle w:val="20"/>
                <w:rFonts w:ascii="Times New Roman" w:hAnsi="Times New Roman" w:cs="Times New Roman"/>
                <w:sz w:val="20"/>
                <w:szCs w:val="20"/>
              </w:rPr>
              <w:footnoteReference w:id="67"/>
            </w:r>
          </w:p>
        </w:tc>
      </w:tr>
      <w:tr w14:paraId="5810C11F">
        <w:tblPrEx>
          <w:tblCellMar>
            <w:top w:w="0" w:type="dxa"/>
            <w:left w:w="10" w:type="dxa"/>
            <w:bottom w:w="0" w:type="dxa"/>
            <w:right w:w="10" w:type="dxa"/>
          </w:tblCellMar>
        </w:tblPrEx>
        <w:trPr>
          <w:jc w:val="center"/>
        </w:trPr>
        <w:tc>
          <w:tcPr>
            <w:tcW w:w="660"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Mar>
              <w:top w:w="0" w:type="dxa"/>
              <w:left w:w="108" w:type="dxa"/>
              <w:bottom w:w="0" w:type="dxa"/>
              <w:right w:w="108" w:type="dxa"/>
            </w:tcMar>
          </w:tcPr>
          <w:p w14:paraId="760A5BDA">
            <w:pPr>
              <w:pStyle w:val="52"/>
              <w:numPr>
                <w:ilvl w:val="1"/>
                <w:numId w:val="13"/>
              </w:numPr>
              <w:spacing w:after="120" w:line="240" w:lineRule="auto"/>
              <w:ind w:left="0" w:firstLine="0"/>
              <w:rPr>
                <w:rFonts w:ascii="Times New Roman" w:hAnsi="Times New Roman" w:cs="Times New Roman"/>
                <w:bCs/>
                <w:sz w:val="20"/>
                <w:szCs w:val="20"/>
              </w:rPr>
            </w:pPr>
          </w:p>
        </w:tc>
        <w:tc>
          <w:tcPr>
            <w:tcW w:w="35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672B2FC">
            <w:pPr>
              <w:pStyle w:val="15"/>
              <w:spacing w:after="120"/>
              <w:jc w:val="both"/>
              <w:rPr>
                <w:rFonts w:ascii="Times New Roman" w:hAnsi="Times New Roman" w:eastAsia="Times New Roman" w:cs="Times New Roman"/>
              </w:rPr>
            </w:pPr>
            <w:r>
              <w:rPr>
                <w:rFonts w:ascii="Times New Roman" w:hAnsi="Times New Roman" w:eastAsia="Times New Roman" w:cs="Times New Roman"/>
              </w:rPr>
              <w:t>4.2.1.6. pasākums "Profesionālās izglītības iestāžu un koledžu mācību vide nozarēm aktuālo prasmju apguvei"</w:t>
            </w:r>
          </w:p>
        </w:tc>
        <w:tc>
          <w:tcPr>
            <w:tcW w:w="2238" w:type="dxa"/>
            <w:tcBorders>
              <w:top w:val="single" w:color="auto" w:sz="4" w:space="0"/>
              <w:left w:val="single" w:color="auto" w:sz="4" w:space="0"/>
              <w:bottom w:val="single" w:color="auto" w:sz="4" w:space="0"/>
              <w:right w:val="single" w:color="000000" w:themeColor="text1" w:sz="4" w:space="0"/>
            </w:tcBorders>
            <w:shd w:val="clear" w:color="auto" w:fill="auto"/>
            <w:tcMar>
              <w:top w:w="0" w:type="dxa"/>
              <w:left w:w="108" w:type="dxa"/>
              <w:bottom w:w="0" w:type="dxa"/>
              <w:right w:w="108" w:type="dxa"/>
            </w:tcMar>
          </w:tcPr>
          <w:p w14:paraId="79491987">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Profesionālās izglītības iestāžu, tai skaitā tehnikumu, mākslu izglītības kompetences centru un profesionālo vidusskolu, un IeM koledžu (turpmāk – profesionālās izglītības iestādes) mācību vides modernizēšana nozarēm aktuālo prasmju apguvei.</w:t>
            </w:r>
          </w:p>
        </w:tc>
        <w:tc>
          <w:tcPr>
            <w:tcW w:w="26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14:paraId="3B2312F4">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Rezultāti visā Latvijā:</w:t>
            </w:r>
          </w:p>
          <w:p w14:paraId="7C4486C9">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jaunu vai modernizētu izglītības iestāžu klašu telpu ietilpība  – </w:t>
            </w:r>
          </w:p>
          <w:p w14:paraId="45890E5E">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5039 izglītojamie*</w:t>
            </w:r>
          </w:p>
          <w:p w14:paraId="5277BA0B">
            <w:pPr>
              <w:spacing w:after="12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jauno vai modernizēto izglītības iestāžu lietotāju skaits gadā – 11 116 izglītojamie**</w:t>
            </w:r>
          </w:p>
          <w:p w14:paraId="046541CA">
            <w:pPr>
              <w:spacing w:after="120" w:line="240" w:lineRule="auto"/>
              <w:jc w:val="both"/>
              <w:rPr>
                <w:rFonts w:ascii="Times New Roman" w:hAnsi="Times New Roman" w:eastAsia="Times New Roman" w:cs="Times New Roman"/>
                <w:i/>
                <w:sz w:val="20"/>
                <w:szCs w:val="20"/>
              </w:rPr>
            </w:pPr>
            <w:r>
              <w:rPr>
                <w:rFonts w:ascii="Times New Roman" w:hAnsi="Times New Roman" w:eastAsia="Times New Roman" w:cs="Times New Roman"/>
                <w:sz w:val="20"/>
                <w:szCs w:val="20"/>
              </w:rPr>
              <w:t xml:space="preserve">Rezultāti Austrumu pierobežā: </w:t>
            </w:r>
            <w:r>
              <w:rPr>
                <w:rFonts w:ascii="Times New Roman" w:hAnsi="Times New Roman" w:eastAsia="Times New Roman" w:cs="Times New Roman"/>
                <w:i/>
                <w:iCs/>
                <w:sz w:val="20"/>
                <w:szCs w:val="20"/>
              </w:rPr>
              <w:t>tiks precizēts</w:t>
            </w:r>
          </w:p>
        </w:tc>
        <w:tc>
          <w:tcPr>
            <w:tcW w:w="1261" w:type="dxa"/>
            <w:tcBorders>
              <w:top w:val="single" w:color="auto" w:sz="4" w:space="0"/>
              <w:left w:val="single" w:color="000000" w:themeColor="text1" w:sz="4" w:space="0"/>
              <w:bottom w:val="single" w:color="auto" w:sz="4" w:space="0"/>
              <w:right w:val="single" w:color="auto" w:sz="4" w:space="0"/>
            </w:tcBorders>
            <w:shd w:val="clear" w:color="auto" w:fill="auto"/>
            <w:tcMar>
              <w:top w:w="0" w:type="dxa"/>
              <w:left w:w="108" w:type="dxa"/>
              <w:bottom w:w="0" w:type="dxa"/>
              <w:right w:w="108" w:type="dxa"/>
            </w:tcMar>
          </w:tcPr>
          <w:p w14:paraId="3B998BAB">
            <w:pPr>
              <w:spacing w:after="12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IZM</w:t>
            </w:r>
          </w:p>
        </w:tc>
        <w:tc>
          <w:tcPr>
            <w:tcW w:w="153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C8FFC2F">
            <w:pPr>
              <w:spacing w:after="120" w:line="240" w:lineRule="auto"/>
              <w:jc w:val="center"/>
              <w:rPr>
                <w:rFonts w:ascii="Times New Roman" w:hAnsi="Times New Roman" w:eastAsia="Times New Roman" w:cs="Times New Roman"/>
                <w:sz w:val="20"/>
                <w:szCs w:val="20"/>
              </w:rPr>
            </w:pPr>
          </w:p>
        </w:tc>
        <w:tc>
          <w:tcPr>
            <w:tcW w:w="112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ACA617B">
            <w:pPr>
              <w:spacing w:after="120" w:line="240" w:lineRule="auto"/>
              <w:rPr>
                <w:rFonts w:ascii="Times New Roman" w:hAnsi="Times New Roman" w:cs="Times New Roman"/>
                <w:sz w:val="20"/>
                <w:szCs w:val="20"/>
              </w:rPr>
            </w:pPr>
            <w:r>
              <w:rPr>
                <w:rFonts w:ascii="Times New Roman" w:hAnsi="Times New Roman" w:cs="Times New Roman"/>
                <w:sz w:val="20"/>
                <w:szCs w:val="20"/>
              </w:rPr>
              <w:t>2025-2027</w:t>
            </w:r>
          </w:p>
        </w:tc>
        <w:tc>
          <w:tcPr>
            <w:tcW w:w="2451"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14:paraId="01E4C767">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Kopējais finansējums visā Latvijā:</w:t>
            </w:r>
          </w:p>
          <w:p w14:paraId="640FB100">
            <w:pPr>
              <w:rPr>
                <w:rFonts w:ascii="Times New Roman" w:hAnsi="Times New Roman" w:cs="Times New Roman"/>
                <w:color w:val="000000"/>
                <w:sz w:val="20"/>
                <w:szCs w:val="20"/>
              </w:rPr>
            </w:pPr>
            <w:r>
              <w:rPr>
                <w:rFonts w:ascii="Times New Roman" w:hAnsi="Times New Roman" w:cs="Times New Roman"/>
                <w:color w:val="000000"/>
                <w:sz w:val="20"/>
                <w:szCs w:val="20"/>
              </w:rPr>
              <w:t>54 561 705 euro</w:t>
            </w:r>
          </w:p>
          <w:p w14:paraId="1EA79587">
            <w:pPr>
              <w:spacing w:after="120"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Finansējums Austrumu pierobežā:</w:t>
            </w:r>
          </w:p>
          <w:p w14:paraId="25094567">
            <w:pPr>
              <w:rPr>
                <w:rFonts w:ascii="Times New Roman" w:hAnsi="Times New Roman" w:cs="Times New Roman"/>
                <w:color w:val="000000"/>
                <w:sz w:val="20"/>
                <w:szCs w:val="20"/>
              </w:rPr>
            </w:pPr>
            <w:r>
              <w:rPr>
                <w:rFonts w:ascii="Times New Roman" w:hAnsi="Times New Roman" w:cs="Times New Roman"/>
                <w:color w:val="000000"/>
                <w:sz w:val="20"/>
                <w:szCs w:val="20"/>
              </w:rPr>
              <w:t>3 000 000 euro</w:t>
            </w:r>
          </w:p>
          <w:p w14:paraId="110A6D53">
            <w:pPr>
              <w:spacing w:after="120" w:line="240" w:lineRule="auto"/>
              <w:rPr>
                <w:rFonts w:ascii="Times New Roman" w:hAnsi="Times New Roman" w:eastAsia="Times New Roman" w:cs="Times New Roman"/>
                <w:sz w:val="20"/>
                <w:szCs w:val="20"/>
              </w:rPr>
            </w:pPr>
          </w:p>
        </w:tc>
      </w:tr>
    </w:tbl>
    <w:p w14:paraId="7891720E">
      <w:pPr>
        <w:tabs>
          <w:tab w:val="left" w:pos="9099"/>
        </w:tabs>
        <w:spacing w:after="120" w:line="240" w:lineRule="auto"/>
        <w:jc w:val="both"/>
        <w:rPr>
          <w:rFonts w:ascii="Times New Roman" w:hAnsi="Times New Roman" w:cs="Times New Roman"/>
          <w:sz w:val="24"/>
          <w:szCs w:val="24"/>
        </w:rPr>
        <w:sectPr>
          <w:headerReference r:id="rId8" w:type="first"/>
          <w:footerReference r:id="rId9" w:type="first"/>
          <w:pgSz w:w="16838" w:h="11906" w:orient="landscape"/>
          <w:pgMar w:top="1701" w:right="1134" w:bottom="1134" w:left="1134" w:header="709" w:footer="709" w:gutter="0"/>
          <w:cols w:space="708" w:num="1"/>
          <w:docGrid w:linePitch="360" w:charSpace="0"/>
        </w:sectPr>
      </w:pPr>
    </w:p>
    <w:p w14:paraId="1D2FEB37">
      <w:pPr>
        <w:tabs>
          <w:tab w:val="left" w:pos="9099"/>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Papildus ministrijas kā prioritāri īstenojamus norādījušas virkni pasākumu, kuriem pašlaik nav piešķirts finansējums.</w:t>
      </w:r>
    </w:p>
    <w:p w14:paraId="3C80275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Rīcības virziena “Drošības stiprināšana” ietvaros kā prioritāra atzīmēta infrastruktūras attīstības projektu īstenošana un dienestu reaģēšanas spēju stiprināšana (izbūvēti katastrofas pārvaldīšanas centri (nepieškirtā finansējuma daļa)), civilā aizsardzība (papildus aktivitātes Austrumu pierobežā); agrīnā brīdināšana un noturība un pašpietiekamība. Tāpat kā prioritāri norādīts pasākums, kas paredz stiprināt sabiedrības noturību pret manipulācijām informatīvajā telpā un izveidot mērķprogrammu Mediju atbalsta fondā, lai uzlabotu komerciālo mediju sasniedzamību Latgalē, kā arī Latgales NVO nepārtrauktas darbības atbalsts interešu aizstāvības, pilsoniskā dialoga un sadarbības sekmēšanai. Prioritāra ir arī pasākuma “Veselības nozares kritiskās infrastruktūras darbības nepārtrauktības nodrošināšana” īstenošana.</w:t>
      </w:r>
    </w:p>
    <w:p w14:paraId="1B710DA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Rīcības virziena “Ekonomiskā attīstība” ietvaros prioritāri nepieciešams piešķirt finansējumu pasākumiem, kas paredz izveidot investīciju fondu uzņēmēju atbalstam un papildus Latvijas Investīciju un attīstības aģentūras pārstāvniecību izveidi. Bez tam, ir jāpanāk konceptuāla vienošanās par Latgales SEZ un Rēzeknes SEZ atbalsta paplašināšanu, iekļaujot Alūksnes novada pašvaldību Latgales SEZ teritorijā un pārskatot atlaides komersantiem apjomu.</w:t>
      </w:r>
    </w:p>
    <w:p w14:paraId="5B26184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Rīcības virziena “Cilvēkresursu attīstība” ietvaros prioritāri būtu rast finansējumu nacionālā reģionālās attīstības fonda izveidei, kura mērķis būtu sniegt atbalstu pašvaldībām valstiski nozīmīgu reformu īstenošanai. Tāpat būtiski rast finansējumu mērķdotācijai mazo pagastu bibliotēkām Austrumu pierobežā, lai atbalstītu šī plašākā kultūras institūciju tīkla kapacitāti kļūt par kopienu centriem, valsts un pašvaldību pakalpojumu punktiem un iedzīvotāju socializācijas un mūžizglītības resursu, tādējādi stiprinot šo pierobežas kopienu noturību potenciālu krīžu situācijās, kā arī iedzīvotāju prasmju un zināšanu pilnveidi reģiona konkurētspējas veicināšanai. Nozīmīga prioritāte ir papildus budžeta vietu finansēšana Malnavas koledžā vidējās profesionālās izglītības līmenī, kā arī papildus budžeta vietas Malnavas koledžā pirmā līmeņa augstākās izglītības programmām un Latvijas Biozinātņu un tehnoloģiju universitātes Malnavas koledžas dienesta viesnīcas vienkāršota pārbūve un atjaunošana. </w:t>
      </w:r>
    </w:p>
    <w:p w14:paraId="15495F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Vienlaikus ir jāņem vērā ģeopolitiskās situācijas ietekmes ilgtermiņa raksturs. Investoru aptaujās ģeopolitiskā situācija ir galvenais interesi mazinošais faktors, kas divkārt pārsniedz citus norādītos aspektus.  Papildus nepieciešama arī ekonomikas struktūras maiņa, lai pilnībā pārorientētos no tirdzniecības ar Krieviju un Baltkrieviju ar citiem partneriem. Tāpat arī būtiski pieaug tēriņi aizsardzībai, kas ierobežo iespējas plašāk finansēt  produktīvās investīcijas. Papildu ir jāņem vērā demogrāfijas izaicinājumi – Latvijā, īpaši pierobežā, dramatiski saruks iedzīvotāju skaits darbaspēka vecumā, kas radīs būtisku ietekmi uz reģiona tautsaimniecību, pakalpojumu pieejamību, infrastruktūras uzturēšanu un konverģenci kopumā.</w:t>
      </w:r>
    </w:p>
    <w:p w14:paraId="60416C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Līdz ar to attiecībā uz investīciju prioritātēm Austrumu pierobežā pēc 2027.gada, norādāmas:</w:t>
      </w:r>
    </w:p>
    <w:p w14:paraId="33DE299D">
      <w:pPr>
        <w:pStyle w:val="52"/>
        <w:numPr>
          <w:ilvl w:val="0"/>
          <w:numId w:val="6"/>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atbalsts ekonomiskās attīstības veicināšanai, pakalpojumu pieejamībai un drošības situācijas uzlabošanai, stiprinot noturību un veicinot iedzīvotāju noturēšanu un piesaisti;</w:t>
      </w:r>
    </w:p>
    <w:p w14:paraId="57B0E63F">
      <w:pPr>
        <w:pStyle w:val="52"/>
        <w:numPr>
          <w:ilvl w:val="0"/>
          <w:numId w:val="6"/>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atbalsts divējādā lietojuma infrastruktūrai, krīzes vadības pasākumiem;</w:t>
      </w:r>
    </w:p>
    <w:p w14:paraId="6E39AB1E">
      <w:pPr>
        <w:pStyle w:val="52"/>
        <w:numPr>
          <w:ilvl w:val="0"/>
          <w:numId w:val="6"/>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ES pārrobežu sadarbības programmu paplašināšana, dodot iespēju slēgto sadarbības virzienu vietā sadarboties, piemēram, ar Polijas vai Somijas reģioniem;</w:t>
      </w:r>
    </w:p>
    <w:p w14:paraId="5A42DBE9">
      <w:pPr>
        <w:pStyle w:val="52"/>
        <w:numPr>
          <w:ilvl w:val="0"/>
          <w:numId w:val="6"/>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rīcības reģionālo un vietējo institūciju kapacitātes stiprināšanai;</w:t>
      </w:r>
    </w:p>
    <w:p w14:paraId="23D08FFA">
      <w:pPr>
        <w:pStyle w:val="52"/>
        <w:numPr>
          <w:ilvl w:val="0"/>
          <w:numId w:val="6"/>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atbalsts plāna pasākumiem, kuriem šobrīd nav pieejams finansējums vai kas ir īstenojami ilgtermiņā, t.sk. uzņēmējdarbības sasaiste ar izglītības piedāvājumu, vietējās ekonomikas pārorientācija, pakalpojumu sniegšanas veidu pielāgošana demogrāfiskajai situācijai u.c.</w:t>
      </w:r>
    </w:p>
    <w:bookmarkEnd w:id="25"/>
    <w:p w14:paraId="3AB30734">
      <w:pPr>
        <w:spacing w:before="240" w:after="0" w:line="240" w:lineRule="auto"/>
        <w:rPr>
          <w:rFonts w:ascii="Times New Roman" w:hAnsi="Times New Roman" w:cs="Times New Roman"/>
          <w:kern w:val="0"/>
          <w:sz w:val="20"/>
          <w:szCs w:val="18"/>
          <w14:ligatures w14:val="none"/>
        </w:rPr>
      </w:pPr>
      <w:r>
        <w:rPr>
          <w:rFonts w:ascii="Times New Roman" w:hAnsi="Times New Roman" w:cs="Times New Roman"/>
          <w:kern w:val="0"/>
          <w:sz w:val="20"/>
          <w:szCs w:val="18"/>
          <w14:ligatures w14:val="none"/>
        </w:rPr>
        <w:t>29.10.2024. 14:29</w:t>
      </w:r>
    </w:p>
    <w:p w14:paraId="01283AAC">
      <w:pPr>
        <w:spacing w:after="0" w:line="240" w:lineRule="auto"/>
        <w:rPr>
          <w:rFonts w:ascii="Times New Roman" w:hAnsi="Times New Roman" w:cs="Times New Roman"/>
          <w:kern w:val="0"/>
          <w:sz w:val="20"/>
          <w:szCs w:val="18"/>
          <w14:ligatures w14:val="none"/>
        </w:rPr>
      </w:pPr>
      <w:r>
        <w:rPr>
          <w:rFonts w:ascii="Times New Roman" w:hAnsi="Times New Roman" w:cs="Times New Roman"/>
          <w:kern w:val="0"/>
          <w:sz w:val="20"/>
          <w:szCs w:val="18"/>
          <w14:ligatures w14:val="none"/>
        </w:rPr>
        <w:t>13 647</w:t>
      </w:r>
    </w:p>
    <w:p w14:paraId="7F5F97B8">
      <w:pPr>
        <w:suppressAutoHyphens/>
        <w:autoSpaceDN w:val="0"/>
        <w:spacing w:after="0" w:line="240" w:lineRule="auto"/>
        <w:jc w:val="both"/>
        <w:rPr>
          <w:rFonts w:ascii="Times New Roman" w:hAnsi="Times New Roman" w:eastAsia="Calibri" w:cs="Times New Roman"/>
          <w:kern w:val="0"/>
          <w:sz w:val="20"/>
          <w:szCs w:val="20"/>
          <w14:ligatures w14:val="none"/>
        </w:rPr>
      </w:pPr>
      <w:r>
        <w:rPr>
          <w:rFonts w:ascii="Times New Roman" w:hAnsi="Times New Roman" w:eastAsia="Calibri" w:cs="Times New Roman"/>
          <w:kern w:val="0"/>
          <w:sz w:val="20"/>
          <w:szCs w:val="20"/>
          <w14:ligatures w14:val="none"/>
        </w:rPr>
        <w:t>I.Jureviča, 26349514</w:t>
      </w:r>
    </w:p>
    <w:p w14:paraId="038DFFB3">
      <w:pPr>
        <w:spacing w:after="120" w:line="240" w:lineRule="auto"/>
        <w:jc w:val="both"/>
        <w:rPr>
          <w:rFonts w:ascii="Times New Roman" w:hAnsi="Times New Roman" w:cs="Times New Roman"/>
          <w:sz w:val="24"/>
          <w:szCs w:val="24"/>
        </w:rPr>
      </w:pPr>
      <w:r>
        <w:fldChar w:fldCharType="begin"/>
      </w:r>
      <w:r>
        <w:instrText xml:space="preserve"> HYPERLINK "mailto:Ilze.Jurevica@varam.gov.lv" </w:instrText>
      </w:r>
      <w:r>
        <w:fldChar w:fldCharType="separate"/>
      </w:r>
      <w:r>
        <w:rPr>
          <w:rFonts w:ascii="Times New Roman" w:hAnsi="Times New Roman" w:eastAsia="Calibri" w:cs="Times New Roman"/>
          <w:kern w:val="0"/>
          <w:sz w:val="20"/>
          <w:szCs w:val="20"/>
          <w:u w:val="single"/>
          <w14:ligatures w14:val="none"/>
        </w:rPr>
        <w:t>Ilze.Jurevica@varam.gov.lv</w:t>
      </w:r>
      <w:r>
        <w:rPr>
          <w:rFonts w:ascii="Times New Roman" w:hAnsi="Times New Roman" w:eastAsia="Calibri" w:cs="Times New Roman"/>
          <w:kern w:val="0"/>
          <w:sz w:val="20"/>
          <w:szCs w:val="20"/>
          <w:u w:val="single"/>
          <w14:ligatures w14:val="none"/>
        </w:rPr>
        <w:fldChar w:fldCharType="end"/>
      </w:r>
      <w:r>
        <w:rPr>
          <w:rFonts w:ascii="Times New Roman" w:hAnsi="Times New Roman" w:eastAsia="Calibri" w:cs="Times New Roman"/>
          <w:kern w:val="0"/>
          <w:sz w:val="20"/>
          <w:szCs w:val="20"/>
          <w:u w:val="single"/>
          <w14:ligatures w14:val="none"/>
        </w:rPr>
        <w:t xml:space="preserve"> </w:t>
      </w:r>
    </w:p>
    <w:sectPr>
      <w:pgSz w:w="11906" w:h="16838"/>
      <w:pgMar w:top="1134" w:right="1134" w:bottom="1134"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Arial">
    <w:panose1 w:val="020B0604020202020204"/>
    <w:charset w:val="BA"/>
    <w:family w:val="swiss"/>
    <w:pitch w:val="default"/>
    <w:sig w:usb0="E0002AFF" w:usb1="C0007843" w:usb2="00000009" w:usb3="00000000" w:csb0="400001FF" w:csb1="FFFF0000"/>
  </w:font>
  <w:font w:name="Calibri">
    <w:panose1 w:val="020F0502020204030204"/>
    <w:charset w:val="BA"/>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游ゴシック Light">
    <w:altName w:val="Latvju Raksti A TL"/>
    <w:panose1 w:val="00000000000000000000"/>
    <w:charset w:val="00"/>
    <w:family w:val="auto"/>
    <w:pitch w:val="default"/>
    <w:sig w:usb0="00000000" w:usb1="00000000" w:usb2="00000000" w:usb3="00000000" w:csb0="00000000" w:csb1="00000000"/>
  </w:font>
  <w:font w:name="Calibri Light">
    <w:panose1 w:val="020F0302020204030204"/>
    <w:charset w:val="BA"/>
    <w:family w:val="swiss"/>
    <w:pitch w:val="default"/>
    <w:sig w:usb0="A00002EF" w:usb1="4000207B" w:usb2="00000000" w:usb3="00000000" w:csb0="2000019F" w:csb1="00000000"/>
  </w:font>
  <w:font w:name="Georgia">
    <w:panose1 w:val="02040502050405020303"/>
    <w:charset w:val="BA"/>
    <w:family w:val="roman"/>
    <w:pitch w:val="default"/>
    <w:sig w:usb0="00000287" w:usb1="00000000" w:usb2="00000000" w:usb3="00000000" w:csb0="2000009F" w:csb1="00000000"/>
  </w:font>
  <w:font w:name="Segoe UI">
    <w:panose1 w:val="020B0502040204020203"/>
    <w:charset w:val="BA"/>
    <w:family w:val="swiss"/>
    <w:pitch w:val="default"/>
    <w:sig w:usb0="E10022FF" w:usb1="C000E47F" w:usb2="00000029" w:usb3="00000000" w:csb0="200001DF" w:csb1="20000000"/>
  </w:font>
  <w:font w:name="游明朝">
    <w:altName w:val="Latvju Raksti A TL"/>
    <w:panose1 w:val="00000000000000000000"/>
    <w:charset w:val="00"/>
    <w:family w:val="auto"/>
    <w:pitch w:val="default"/>
    <w:sig w:usb0="00000000" w:usb1="00000000" w:usb2="00000000" w:usb3="00000000" w:csb0="00000000" w:csb1="00000000"/>
  </w:font>
  <w:font w:name="Aptos">
    <w:altName w:val="Latvju Raksti A TL"/>
    <w:panose1 w:val="00000000000000000000"/>
    <w:charset w:val="00"/>
    <w:family w:val="swiss"/>
    <w:pitch w:val="default"/>
    <w:sig w:usb0="00000000" w:usb1="00000000" w:usb2="00000000" w:usb3="00000000" w:csb0="0000019F" w:csb1="00000000"/>
  </w:font>
  <w:font w:name="Courier New">
    <w:panose1 w:val="02070309020205020404"/>
    <w:charset w:val="BA"/>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ptos Narrow">
    <w:altName w:val="Latvju Raksti A TL"/>
    <w:panose1 w:val="00000000000000000000"/>
    <w:charset w:val="00"/>
    <w:family w:val="swiss"/>
    <w:pitch w:val="default"/>
    <w:sig w:usb0="00000000" w:usb1="00000000" w:usb2="00000000" w:usb3="00000000" w:csb0="0000019F" w:csb1="00000000"/>
  </w:font>
  <w:font w:name="Verdana">
    <w:panose1 w:val="020B06040305040B0204"/>
    <w:charset w:val="BA"/>
    <w:family w:val="swiss"/>
    <w:pitch w:val="default"/>
    <w:sig w:usb0="A10006FF" w:usb1="4000205B" w:usb2="00000010" w:usb3="00000000" w:csb0="2000019F" w:csb1="00000000"/>
  </w:font>
  <w:font w:name="Garamond">
    <w:panose1 w:val="02020404030301010803"/>
    <w:charset w:val="BA"/>
    <w:family w:val="roman"/>
    <w:pitch w:val="default"/>
    <w:sig w:usb0="00000287" w:usb1="00000000" w:usb2="00000000" w:usb3="00000000" w:csb0="0000009F" w:csb1="DFD70000"/>
  </w:font>
  <w:font w:name="Verdana">
    <w:panose1 w:val="020B06040305040B0204"/>
    <w:charset w:val="00"/>
    <w:family w:val="swiss"/>
    <w:pitch w:val="variable"/>
    <w:sig w:usb0="A10006FF" w:usb1="4000205B" w:usb2="00000010" w:usb3="00000000" w:csb0="2000019F" w:csb1="00000000"/>
  </w:font>
  <w:font w:name="Times">
    <w:altName w:val="Times New Roman"/>
    <w:panose1 w:val="02020603050405020304"/>
    <w:charset w:val="BA"/>
    <w:family w:val="roman"/>
    <w:pitch w:val="default"/>
    <w:sig w:usb0="00000000" w:usb1="00000000" w:usb2="00000009" w:usb3="00000000" w:csb0="000001FF" w:csb1="00000000"/>
  </w:font>
  <w:font w:name="Calibri Light">
    <w:panose1 w:val="020F0302020204030204"/>
    <w:charset w:val="00"/>
    <w:family w:val="auto"/>
    <w:pitch w:val="default"/>
    <w:sig w:usb0="A00002EF" w:usb1="4000207B" w:usb2="00000000" w:usb3="00000000" w:csb0="2000019F" w:csb1="00000000"/>
  </w:font>
  <w:font w:name="Latvju Raksti A TL">
    <w:panose1 w:val="0200050002000002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D1FC">
    <w:pPr>
      <w:pStyle w:val="19"/>
      <w:jc w:val="right"/>
      <w:rPr>
        <w:rFonts w:ascii="Times New Roman" w:hAnsi="Times New Roman" w:cs="Times New Roman"/>
        <w:sz w:val="24"/>
        <w:szCs w:val="24"/>
      </w:rPr>
    </w:pPr>
    <w:sdt>
      <w:sdtPr>
        <w:id w:val="-208956350"/>
        <w:docPartObj>
          <w:docPartGallery w:val="AutoText"/>
        </w:docPartObj>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sdtContent>
    </w:sdt>
  </w:p>
  <w:p w14:paraId="764DB6A4">
    <w:pPr>
      <w:spacing w:after="0" w:line="240" w:lineRule="auto"/>
      <w:rPr>
        <w:rFonts w:ascii="Times New Roman" w:hAnsi="Times New Roman" w:cs="Times New Roman"/>
        <w:sz w:val="20"/>
        <w:szCs w:val="20"/>
      </w:rPr>
    </w:pPr>
    <w:r>
      <w:rPr>
        <w:rFonts w:ascii="Times New Roman" w:hAnsi="Times New Roman" w:cs="Times New Roman"/>
        <w:sz w:val="20"/>
        <w:szCs w:val="20"/>
      </w:rPr>
      <w:t>VARAMPl_A_pierobeža_291024; Rīcības plāns Latvijas Austrumu pierobežas ekonomiskajai izaugsmei un drošības stiprināšanai 2025.–2027. gadam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0" w:type="auto"/>
      <w:tblInd w:w="0" w:type="dxa"/>
      <w:tblLayout w:type="fixed"/>
      <w:tblCellMar>
        <w:top w:w="0" w:type="dxa"/>
        <w:left w:w="108" w:type="dxa"/>
        <w:bottom w:w="0" w:type="dxa"/>
        <w:right w:w="108" w:type="dxa"/>
      </w:tblCellMar>
    </w:tblPr>
    <w:tblGrid>
      <w:gridCol w:w="3210"/>
      <w:gridCol w:w="3210"/>
      <w:gridCol w:w="3210"/>
    </w:tblGrid>
    <w:tr w14:paraId="48FFE5D8">
      <w:tblPrEx>
        <w:tblCellMar>
          <w:top w:w="0" w:type="dxa"/>
          <w:left w:w="108" w:type="dxa"/>
          <w:bottom w:w="0" w:type="dxa"/>
          <w:right w:w="108" w:type="dxa"/>
        </w:tblCellMar>
      </w:tblPrEx>
      <w:trPr>
        <w:trHeight w:val="300" w:hRule="atLeast"/>
      </w:trPr>
      <w:tc>
        <w:tcPr>
          <w:tcW w:w="3210" w:type="dxa"/>
        </w:tcPr>
        <w:p w14:paraId="04F2583A">
          <w:pPr>
            <w:pStyle w:val="23"/>
            <w:ind w:left="-115"/>
          </w:pPr>
        </w:p>
      </w:tc>
      <w:tc>
        <w:tcPr>
          <w:tcW w:w="3210" w:type="dxa"/>
        </w:tcPr>
        <w:p w14:paraId="31329E62">
          <w:pPr>
            <w:pStyle w:val="23"/>
            <w:jc w:val="center"/>
          </w:pPr>
        </w:p>
      </w:tc>
      <w:tc>
        <w:tcPr>
          <w:tcW w:w="3210" w:type="dxa"/>
        </w:tcPr>
        <w:p w14:paraId="2AC0727D">
          <w:pPr>
            <w:pStyle w:val="23"/>
            <w:ind w:right="-115"/>
            <w:jc w:val="right"/>
          </w:pPr>
        </w:p>
      </w:tc>
    </w:tr>
  </w:tbl>
  <w:p w14:paraId="52293F1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0" w:type="auto"/>
      <w:tblInd w:w="0" w:type="dxa"/>
      <w:tblLayout w:type="fixed"/>
      <w:tblCellMar>
        <w:top w:w="0" w:type="dxa"/>
        <w:left w:w="108" w:type="dxa"/>
        <w:bottom w:w="0" w:type="dxa"/>
        <w:right w:w="108" w:type="dxa"/>
      </w:tblCellMar>
    </w:tblPr>
    <w:tblGrid>
      <w:gridCol w:w="4855"/>
      <w:gridCol w:w="4855"/>
      <w:gridCol w:w="4855"/>
    </w:tblGrid>
    <w:tr w14:paraId="1578EB90">
      <w:tblPrEx>
        <w:tblCellMar>
          <w:top w:w="0" w:type="dxa"/>
          <w:left w:w="108" w:type="dxa"/>
          <w:bottom w:w="0" w:type="dxa"/>
          <w:right w:w="108" w:type="dxa"/>
        </w:tblCellMar>
      </w:tblPrEx>
      <w:trPr>
        <w:trHeight w:val="300" w:hRule="atLeast"/>
      </w:trPr>
      <w:tc>
        <w:tcPr>
          <w:tcW w:w="4855" w:type="dxa"/>
        </w:tcPr>
        <w:p w14:paraId="32246A22">
          <w:pPr>
            <w:pStyle w:val="23"/>
            <w:ind w:left="-115"/>
          </w:pPr>
        </w:p>
      </w:tc>
      <w:tc>
        <w:tcPr>
          <w:tcW w:w="4855" w:type="dxa"/>
        </w:tcPr>
        <w:p w14:paraId="401C24A9">
          <w:pPr>
            <w:pStyle w:val="23"/>
            <w:jc w:val="center"/>
          </w:pPr>
        </w:p>
      </w:tc>
      <w:tc>
        <w:tcPr>
          <w:tcW w:w="4855" w:type="dxa"/>
        </w:tcPr>
        <w:p w14:paraId="4817F6B6">
          <w:pPr>
            <w:pStyle w:val="23"/>
            <w:ind w:right="-115"/>
            <w:jc w:val="right"/>
          </w:pPr>
        </w:p>
      </w:tc>
    </w:tr>
  </w:tbl>
  <w:p w14:paraId="1785AE5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36">
    <w:p>
      <w:pPr>
        <w:spacing w:before="0" w:after="0" w:line="259" w:lineRule="auto"/>
      </w:pPr>
      <w:r>
        <w:separator/>
      </w:r>
    </w:p>
  </w:footnote>
  <w:footnote w:type="continuationSeparator" w:id="137">
    <w:p>
      <w:pPr>
        <w:spacing w:before="0" w:after="0" w:line="259" w:lineRule="auto"/>
      </w:pPr>
      <w:r>
        <w:continuationSeparator/>
      </w:r>
    </w:p>
  </w:footnote>
  <w:footnote w:id="0">
    <w:p w14:paraId="29DBD0AB">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Apstiprinātas ar Ministru kabineta 2019. gada 26. novembra rīkojumu Nr. 587</w:t>
      </w:r>
    </w:p>
  </w:footnote>
  <w:footnote w:id="1">
    <w:p w14:paraId="162D5FA7">
      <w:pPr>
        <w:pStyle w:val="22"/>
        <w:jc w:val="both"/>
        <w:rPr>
          <w:rFonts w:ascii="Times New Roman" w:hAnsi="Times New Roman"/>
          <w:lang w:val="lv-LV"/>
        </w:rPr>
      </w:pPr>
      <w:r>
        <w:rPr>
          <w:rStyle w:val="20"/>
          <w:lang w:val="lv-LV"/>
        </w:rPr>
        <w:footnoteRef/>
      </w:r>
      <w:r>
        <w:rPr>
          <w:lang w:val="lv-LV"/>
        </w:rPr>
        <w:t xml:space="preserve"> </w:t>
      </w:r>
      <w:r>
        <w:rPr>
          <w:rFonts w:ascii="Times New Roman" w:hAnsi="Times New Roman"/>
          <w:lang w:val="lv-LV"/>
        </w:rPr>
        <w:t>Vides aizsardzības un reģionālās attīstības ministrijai izstrādāt un vides aizsardzības un reģionālās attīstības ministram līdz 2022. gada 30. decembrim noteiktā kārtībā iesniegt izskatīšanai Ministru kabinetā rīcības plānu Latgales reģiona ekonomiskajai izaugsmei 2023.–2025. gadam.</w:t>
      </w:r>
    </w:p>
  </w:footnote>
  <w:footnote w:id="2">
    <w:p w14:paraId="1184E44A">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T.sk. pamatojoties uz Austrumu pierobežas sociālekonomiskās attīstības un drošības stiprināšanas tematiskās komitejas lēmumu.</w:t>
      </w:r>
    </w:p>
  </w:footnote>
  <w:footnote w:id="3">
    <w:p w14:paraId="237CDD44">
      <w:pPr>
        <w:pStyle w:val="22"/>
        <w:jc w:val="both"/>
        <w:rPr>
          <w:lang w:val="lv-LV"/>
        </w:rPr>
      </w:pPr>
      <w:r>
        <w:rPr>
          <w:rStyle w:val="20"/>
          <w:rFonts w:ascii="Times New Roman" w:hAnsi="Times New Roman"/>
        </w:rPr>
        <w:footnoteRef/>
      </w:r>
      <w:r>
        <w:rPr>
          <w:rFonts w:ascii="Times New Roman" w:hAnsi="Times New Roman"/>
        </w:rPr>
        <w:t xml:space="preserve"> Kā Austrumu pierobežas teritorija šajā plānā tiek definētas visas Latgales plānošanas reģiona pašvaldības un Alūksnes novada pašvaldība, kurai ir robeža ar Krieviju.</w:t>
      </w:r>
    </w:p>
  </w:footnote>
  <w:footnote w:id="4">
    <w:p w14:paraId="64B45063">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Tas tika apspriests vietējās diskusijās – 2023.gada 14.septembrī Daugavpilī un 15.septembrī Rēzeknē. No 2023.gada 27.novembra līdz 8.decembrim norisinājās plāna publiskā apspriešana Vienotajā tiesību aktu projektu izstrādes un saskaņošanas portālā. Plāna izstrādes ietvaros pēc konsultācijām ar nozaru ministrijām daļēji ņemti vērā individuāli saņemti Latvijas Tirdzniecības un rūpniecības kameras priekšlikumi plānā ietveramajiem pasākumiem, kā arī Latvijas Pilsoniskās alianses priekšlikumi.</w:t>
      </w:r>
    </w:p>
  </w:footnote>
  <w:footnote w:id="5">
    <w:p w14:paraId="2AB88CE3">
      <w:pPr>
        <w:pStyle w:val="22"/>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Izveidota ar Ministru prezidenta 2024.gada 30.aprīļa rīkojumu Nr. 2024/1.2.1.-158.</w:t>
      </w:r>
    </w:p>
  </w:footnote>
  <w:footnote w:id="6">
    <w:p w14:paraId="38B948B6">
      <w:pPr>
        <w:pStyle w:val="22"/>
        <w:rPr>
          <w:rFonts w:ascii="Times New Roman" w:hAnsi="Times New Roman"/>
          <w:lang w:val="lv-LV"/>
        </w:rPr>
      </w:pPr>
      <w:r>
        <w:rPr>
          <w:rStyle w:val="20"/>
          <w:rFonts w:ascii="Times New Roman" w:hAnsi="Times New Roman"/>
        </w:rPr>
        <w:footnoteRef/>
      </w:r>
      <w:r>
        <w:rPr>
          <w:rFonts w:ascii="Times New Roman" w:hAnsi="Times New Roman"/>
          <w:lang w:val="lv-LV"/>
        </w:rPr>
        <w:t xml:space="preserve"> Eiropas Komisijas pārstāvju prezentācija 2024.gada 22.maijā Viļņā Baltijas valstu, Polijas un Somijas un Eiropas komisijas sanāksmē par ES Austrumu pierobežas izaicinājumiem un attīstības iespējām.</w:t>
      </w:r>
    </w:p>
  </w:footnote>
  <w:footnote w:id="7">
    <w:p w14:paraId="35A085BF">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eastAsia="Times New Roman" w:cs="Times New Roman"/>
          <w:sz w:val="20"/>
          <w:szCs w:val="20"/>
        </w:rPr>
        <w:t xml:space="preserve">Latvijas reģionālās attīstības atšķirības pēc IKP uz vienu iedzīvotāju reģionālā sadalījuma ir starp augstākajām OECD (avots: </w:t>
      </w:r>
      <w:r>
        <w:rPr>
          <w:rFonts w:ascii="Times New Roman" w:hAnsi="Times New Roman" w:cs="Times New Roman"/>
          <w:sz w:val="20"/>
          <w:szCs w:val="20"/>
        </w:rPr>
        <w:t>OECD</w:t>
      </w:r>
      <w:r>
        <w:rPr>
          <w:rFonts w:ascii="Times New Roman" w:hAnsi="Times New Roman"/>
        </w:rPr>
        <w:t>.</w:t>
      </w:r>
      <w:r>
        <w:rPr>
          <w:rFonts w:ascii="Times New Roman" w:hAnsi="Times New Roman" w:cs="Times New Roman"/>
          <w:sz w:val="20"/>
          <w:szCs w:val="20"/>
        </w:rPr>
        <w:t xml:space="preserve"> </w:t>
      </w:r>
      <w:r>
        <w:rPr>
          <w:rFonts w:ascii="Times New Roman" w:hAnsi="Times New Roman" w:cs="Times New Roman"/>
          <w:i/>
          <w:sz w:val="20"/>
          <w:szCs w:val="20"/>
        </w:rPr>
        <w:t>Regions and Cities at a Glance 2022</w:t>
      </w:r>
      <w:r>
        <w:rPr>
          <w:rFonts w:ascii="Times New Roman" w:hAnsi="Times New Roman" w:cs="Times New Roman"/>
          <w:i/>
          <w:iCs/>
          <w:sz w:val="20"/>
          <w:szCs w:val="20"/>
        </w:rPr>
        <w:t xml:space="preserve"> – Latvia</w:t>
      </w:r>
      <w:r>
        <w:rPr>
          <w:rFonts w:ascii="Times New Roman" w:hAnsi="Times New Roman" w:cs="Times New Roman"/>
          <w:sz w:val="20"/>
          <w:szCs w:val="20"/>
        </w:rPr>
        <w:t xml:space="preserve">. Pieejams: </w:t>
      </w:r>
      <w:r>
        <w:fldChar w:fldCharType="begin"/>
      </w:r>
      <w:r>
        <w:instrText xml:space="preserve"> HYPERLINK "https://www.oecd.org/regional/LVA-RCG2022.pdf" </w:instrText>
      </w:r>
      <w:r>
        <w:fldChar w:fldCharType="separate"/>
      </w:r>
      <w:r>
        <w:rPr>
          <w:rStyle w:val="24"/>
          <w:rFonts w:ascii="Times New Roman" w:hAnsi="Times New Roman" w:cs="Times New Roman"/>
          <w:sz w:val="20"/>
          <w:szCs w:val="20"/>
        </w:rPr>
        <w:t>https://www.oecd.org/regional/LVA-RCG2022.pdf</w:t>
      </w:r>
      <w:r>
        <w:rPr>
          <w:rStyle w:val="24"/>
          <w:rFonts w:ascii="Times New Roman" w:hAnsi="Times New Roman" w:cs="Times New Roman"/>
          <w:sz w:val="20"/>
          <w:szCs w:val="20"/>
        </w:rPr>
        <w:fldChar w:fldCharType="end"/>
      </w:r>
      <w:r>
        <w:rPr>
          <w:rStyle w:val="24"/>
          <w:rFonts w:ascii="Times New Roman" w:hAnsi="Times New Roman" w:cs="Times New Roman"/>
          <w:sz w:val="20"/>
          <w:szCs w:val="20"/>
        </w:rPr>
        <w:t xml:space="preserve">) </w:t>
      </w:r>
      <w:r>
        <w:rPr>
          <w:rFonts w:ascii="Times New Roman" w:hAnsi="Times New Roman" w:eastAsia="Times New Roman" w:cs="Times New Roman"/>
          <w:sz w:val="20"/>
          <w:szCs w:val="20"/>
        </w:rPr>
        <w:t xml:space="preserve">un ES (avots: </w:t>
      </w:r>
      <w:r>
        <w:rPr>
          <w:rFonts w:ascii="Times New Roman" w:hAnsi="Times New Roman" w:eastAsia="Times New Roman" w:cs="Times New Roman"/>
          <w:i/>
          <w:iCs/>
          <w:sz w:val="20"/>
          <w:szCs w:val="20"/>
        </w:rPr>
        <w:t>Eurostat</w:t>
      </w:r>
      <w:r>
        <w:rPr>
          <w:rFonts w:ascii="Times New Roman" w:hAnsi="Times New Roman" w:eastAsia="Times New Roman" w:cs="Times New Roman"/>
          <w:sz w:val="20"/>
          <w:szCs w:val="20"/>
        </w:rPr>
        <w:t xml:space="preserve"> dati) valstu vidū. Līdz ar to reģionālās attīstības atšķirību starp teritorijām mazināšana ir viens no būtiskajiem ilgtermiņa izaicinājumiem Latvijas reģionālajā politikā.</w:t>
      </w:r>
      <w:r>
        <w:rPr>
          <w:rStyle w:val="60"/>
          <w:rFonts w:ascii="Times New Roman" w:hAnsi="Times New Roman" w:cs="Times New Roman"/>
          <w:sz w:val="20"/>
          <w:szCs w:val="20"/>
        </w:rPr>
        <w:t xml:space="preserve"> Vienlaikus pēdējos gados vērojama pozitīva tendence – ja 2018. gadā Rīgas reģiona IKP uz vienu iedzīvotāju bija 3,1 reizi lielāks nekā Latgales reģionā, tad 2021. gadā starpība ir samazinājusies līdz 2,8 reizēm. Nepieciešami mērķtiecīgi ieguldījumi, lai šī pozitīvā tendence turpinātos.</w:t>
      </w:r>
    </w:p>
  </w:footnote>
  <w:footnote w:id="8">
    <w:p w14:paraId="788DE175">
      <w:pPr>
        <w:pStyle w:val="22"/>
        <w:jc w:val="both"/>
        <w:rPr>
          <w:rFonts w:ascii="Times New Roman" w:hAnsi="Times New Roman"/>
          <w:lang w:val="lv-LV"/>
        </w:rPr>
      </w:pPr>
      <w:r>
        <w:rPr>
          <w:rStyle w:val="20"/>
          <w:rFonts w:ascii="Times New Roman" w:hAnsi="Times New Roman" w:eastAsiaTheme="majorEastAsia"/>
          <w:lang w:val="lv-LV"/>
        </w:rPr>
        <w:footnoteRef/>
      </w:r>
      <w:r>
        <w:rPr>
          <w:rFonts w:ascii="Times New Roman" w:hAnsi="Times New Roman"/>
          <w:lang w:val="lv-LV"/>
        </w:rPr>
        <w:t xml:space="preserve"> ESPON. BusDev - Business Development Opportunities at External EU Borders. (December 2019 – January 2021). Pieejams: </w:t>
      </w:r>
      <w:r>
        <w:fldChar w:fldCharType="begin"/>
      </w:r>
      <w:r>
        <w:instrText xml:space="preserve"> HYPERLINK "https://www.espon.eu/bus" </w:instrText>
      </w:r>
      <w:r>
        <w:fldChar w:fldCharType="separate"/>
      </w:r>
      <w:r>
        <w:rPr>
          <w:rStyle w:val="24"/>
          <w:rFonts w:ascii="Times New Roman" w:hAnsi="Times New Roman" w:eastAsiaTheme="majorEastAsia"/>
          <w:lang w:val="lv-LV"/>
        </w:rPr>
        <w:t>https://www.espon.eu/bus</w:t>
      </w:r>
      <w:r>
        <w:rPr>
          <w:rStyle w:val="24"/>
          <w:rFonts w:ascii="Times New Roman" w:hAnsi="Times New Roman" w:eastAsiaTheme="majorEastAsia"/>
          <w:lang w:val="lv-LV"/>
        </w:rPr>
        <w:fldChar w:fldCharType="end"/>
      </w:r>
      <w:r>
        <w:rPr>
          <w:rFonts w:ascii="Times New Roman" w:hAnsi="Times New Roman"/>
          <w:lang w:val="lv-LV"/>
        </w:rPr>
        <w:t xml:space="preserve"> </w:t>
      </w:r>
    </w:p>
  </w:footnote>
  <w:footnote w:id="9">
    <w:p w14:paraId="760F2F4D">
      <w:pPr>
        <w:pStyle w:val="22"/>
        <w:jc w:val="both"/>
        <w:rPr>
          <w:rFonts w:ascii="Times New Roman" w:hAnsi="Times New Roman"/>
          <w:lang w:val="lv-LV"/>
        </w:rPr>
      </w:pPr>
      <w:r>
        <w:rPr>
          <w:rStyle w:val="20"/>
          <w:rFonts w:ascii="Times New Roman" w:hAnsi="Times New Roman" w:eastAsiaTheme="majorEastAsia"/>
          <w:lang w:val="lv-LV"/>
        </w:rPr>
        <w:footnoteRef/>
      </w:r>
      <w:r>
        <w:rPr>
          <w:rFonts w:ascii="Times New Roman" w:hAnsi="Times New Roman"/>
          <w:lang w:val="lv-LV"/>
        </w:rPr>
        <w:t xml:space="preserve"> ESPON. BusDev - Business Development Opportunities at External EU Borders. Pieejams: </w:t>
      </w:r>
      <w:r>
        <w:fldChar w:fldCharType="begin"/>
      </w:r>
      <w:r>
        <w:instrText xml:space="preserve"> HYPERLINK "https://www.espon.eu/bus" </w:instrText>
      </w:r>
      <w:r>
        <w:fldChar w:fldCharType="separate"/>
      </w:r>
      <w:r>
        <w:rPr>
          <w:rStyle w:val="24"/>
          <w:rFonts w:ascii="Times New Roman" w:hAnsi="Times New Roman" w:eastAsiaTheme="majorEastAsia"/>
          <w:lang w:val="lv-LV"/>
        </w:rPr>
        <w:t>https://www.espon.eu/bus</w:t>
      </w:r>
      <w:r>
        <w:rPr>
          <w:rStyle w:val="24"/>
          <w:rFonts w:ascii="Times New Roman" w:hAnsi="Times New Roman" w:eastAsiaTheme="majorEastAsia"/>
          <w:lang w:val="lv-LV"/>
        </w:rPr>
        <w:fldChar w:fldCharType="end"/>
      </w:r>
      <w:r>
        <w:rPr>
          <w:rFonts w:ascii="Times New Roman" w:hAnsi="Times New Roman"/>
          <w:lang w:val="lv-LV"/>
        </w:rPr>
        <w:t xml:space="preserve"> </w:t>
      </w:r>
    </w:p>
  </w:footnote>
  <w:footnote w:id="10">
    <w:p w14:paraId="448CC67C">
      <w:pPr>
        <w:pStyle w:val="22"/>
        <w:rPr>
          <w:lang w:val="lv-LV"/>
        </w:rPr>
      </w:pPr>
      <w:r>
        <w:rPr>
          <w:rStyle w:val="20"/>
        </w:rPr>
        <w:footnoteRef/>
      </w:r>
      <w:r>
        <w:t xml:space="preserve"> </w:t>
      </w:r>
      <w:r>
        <w:rPr>
          <w:rFonts w:ascii="Times New Roman" w:hAnsi="Times New Roman"/>
          <w:kern w:val="2"/>
          <w:lang w:val="lv-LV" w:eastAsia="en-US"/>
          <w14:ligatures w14:val="standardContextual"/>
        </w:rPr>
        <w:t>Ernst&amp;Young. Izvērtējums par kara Ukrainā radīto ietekmi uz Eiropas Savienības Austrumu pierobežas reģioniem (2024).</w:t>
      </w:r>
    </w:p>
  </w:footnote>
  <w:footnote w:id="11">
    <w:p w14:paraId="67A751A5">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Pētnieku aptaujātie uzņēmēji atzīmējuši, ka būtiski jāpievēršas valstu tēla un pievilcības ārvalstu investoriem uzlabošanai. Ārvalstu investoriem un potenciālajiem klientiem nav pietiekamas izpratnes par Baltijas reģiona pašreizējo drošības situāciju, kā arī par to kāda veida produkti šeit pieejami un kādu jomu uzņēmumi šeit darbojas.</w:t>
      </w:r>
    </w:p>
  </w:footnote>
  <w:footnote w:id="12">
    <w:p w14:paraId="18F42101">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w:t>
      </w:r>
      <w:r>
        <w:rPr>
          <w:rFonts w:ascii="Times New Roman" w:hAnsi="Times New Roman"/>
          <w:kern w:val="2"/>
          <w:lang w:val="lv-LV" w:eastAsia="en-US"/>
          <w14:ligatures w14:val="standardContextual"/>
        </w:rPr>
        <w:t>Eksporta apjoms faktiskajās cenās, salīdzinot 2022. gadu un 2023. gadu, visās valstīs, izņemot Poliju, ir samazinājies, lielāko kritumu piedzīvojot Latvijā (11%). Secināms, ka valstu tautsaimniecības ārējos tirgos kopumā ir kļuvušas mazāk konkurētspējīgas.</w:t>
      </w:r>
    </w:p>
  </w:footnote>
  <w:footnote w:id="13">
    <w:p w14:paraId="68A2D2B7">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w:t>
      </w:r>
      <w:r>
        <w:rPr>
          <w:rFonts w:ascii="Times New Roman" w:hAnsi="Times New Roman"/>
          <w:kern w:val="2"/>
          <w:lang w:val="lv-LV" w:eastAsia="en-US"/>
          <w14:ligatures w14:val="standardContextual"/>
        </w:rPr>
        <w:t>Enerģētika ir joma, kurā salīdzinoši asāk valstis ir izjutušas kara ietekmi, esot akūtai nepieciešamībai pārorientēties no Krievijas energoresursu tirgus kā ģeogrāfiski, tā arī enerģētikas avotu ziņā.</w:t>
      </w:r>
    </w:p>
  </w:footnote>
  <w:footnote w:id="14">
    <w:p w14:paraId="497AAEE4">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Saskaņā ar CSP datiem, 2022. gadā Latvijā ieradās 23 335 Ukrainas kara bēgļi un 958 citi Ukrainas pilsoņi, kas veido 62,7% no starptautisko ilgtermiņa imigrantu plūsmas valstī (38 708). Imigrantu skaits Latvijā 2022. gadā, salīdzinot ar gadu iepriekš, vairāk nekā trīskāršojies.</w:t>
      </w:r>
    </w:p>
  </w:footnote>
  <w:footnote w:id="15">
    <w:p w14:paraId="029436B3">
      <w:pPr>
        <w:spacing w:after="0" w:line="240" w:lineRule="auto"/>
        <w:jc w:val="both"/>
        <w:rPr>
          <w:rFonts w:ascii="Times New Roman" w:hAnsi="Times New Roman" w:eastAsia="Calibri" w:cs="Times New Roman"/>
          <w:b/>
          <w:bCs/>
          <w:kern w:val="0"/>
          <w:sz w:val="20"/>
          <w:szCs w:val="20"/>
          <w:lang w:eastAsia="lv-LV"/>
          <w14:ligatures w14:val="none"/>
        </w:rPr>
      </w:pPr>
      <w:r>
        <w:rPr>
          <w:rFonts w:ascii="Times New Roman" w:hAnsi="Times New Roman" w:cs="Times New Roman"/>
          <w:sz w:val="20"/>
          <w:szCs w:val="20"/>
          <w:vertAlign w:val="superscript"/>
        </w:rPr>
        <w:footnoteRef/>
      </w:r>
      <w:r>
        <w:rPr>
          <w:rFonts w:ascii="Times New Roman" w:hAnsi="Times New Roman" w:eastAsia="Times New Roman" w:cs="Times New Roman"/>
          <w:sz w:val="20"/>
          <w:szCs w:val="20"/>
        </w:rPr>
        <w:t xml:space="preserve"> Analizējot dzelzceļa pārvadājumu struktūru Latvijā, līdz 2020. gadam dzelzceļa tīkla izmantošanā dominēja kravu pārvadājumi. Kopš 2020. gada šī situācija ir mainījusies un 2020. gadā pasažieru pārvadājumu daļa vilcienu kilometru izteiksmē sasniedza 58%, bet 2022. gadā jau 60,6% no kopējiem vilcienu kilometru rādītājiem dzelzceļa tīklā. Karadarbība Ukrainā un tai sekojošās sankcijas un pārvadājumu ierobežojumi samazina dzelzceļa infrastruktūras noslodzi  kravu pārvadājumos. Sauszemes tranzītā bijis 48% kritums.</w:t>
      </w:r>
      <w:r>
        <w:rPr>
          <w:rFonts w:ascii="Times New Roman" w:hAnsi="Times New Roman" w:eastAsia="Calibri" w:cs="Times New Roman"/>
          <w:sz w:val="20"/>
          <w:szCs w:val="20"/>
          <w:lang w:eastAsia="lv-LV"/>
        </w:rPr>
        <w:t xml:space="preserve"> </w:t>
      </w:r>
      <w:r>
        <w:rPr>
          <w:rFonts w:ascii="Times New Roman" w:hAnsi="Times New Roman" w:eastAsia="Times New Roman" w:cs="Times New Roman"/>
          <w:sz w:val="20"/>
          <w:szCs w:val="20"/>
        </w:rPr>
        <w:t>V</w:t>
      </w:r>
      <w:r>
        <w:rPr>
          <w:rFonts w:ascii="Times New Roman" w:hAnsi="Times New Roman" w:eastAsia="Garamond" w:cs="Times New Roman"/>
          <w:bCs/>
          <w:kern w:val="0"/>
          <w:sz w:val="20"/>
          <w:szCs w:val="20"/>
          <w:lang w:eastAsia="lv-LV"/>
          <w14:ligatures w14:val="none"/>
        </w:rPr>
        <w:t>ērtējot potenciālās izaugsmes iespējas dzelzceļa pārvadājumiem Latvijā, diversificējot dzelzceļa darbību un kravu plūsmas, ir identificēti vairāki būtiski pozitīvi faktori un iespējas:</w:t>
      </w:r>
    </w:p>
    <w:p w14:paraId="0B032AA7">
      <w:pPr>
        <w:numPr>
          <w:ilvl w:val="1"/>
          <w:numId w:val="1"/>
        </w:numPr>
        <w:spacing w:after="0" w:line="240" w:lineRule="auto"/>
        <w:jc w:val="both"/>
        <w:rPr>
          <w:rFonts w:ascii="Times New Roman" w:hAnsi="Times New Roman" w:eastAsia="Garamond" w:cs="Times New Roman"/>
          <w:kern w:val="0"/>
          <w:sz w:val="20"/>
          <w:szCs w:val="20"/>
          <w14:ligatures w14:val="none"/>
        </w:rPr>
      </w:pPr>
      <w:r>
        <w:rPr>
          <w:rFonts w:ascii="Times New Roman" w:hAnsi="Times New Roman" w:eastAsia="Garamond" w:cs="Times New Roman"/>
          <w:kern w:val="0"/>
          <w:sz w:val="20"/>
          <w:szCs w:val="20"/>
          <w14:ligatures w14:val="none"/>
        </w:rPr>
        <w:t xml:space="preserve">Eiropas – Āzijas pieaugošā transporta loma un tranzīts uz Ziemeļeiropas un Skandināvijas tirgiem. </w:t>
      </w:r>
    </w:p>
    <w:p w14:paraId="1387EFF0">
      <w:pPr>
        <w:numPr>
          <w:ilvl w:val="1"/>
          <w:numId w:val="1"/>
        </w:numPr>
        <w:spacing w:after="0" w:line="240" w:lineRule="auto"/>
        <w:jc w:val="both"/>
        <w:rPr>
          <w:rFonts w:ascii="Times New Roman" w:hAnsi="Times New Roman" w:eastAsia="Garamond" w:cs="Times New Roman"/>
          <w:kern w:val="0"/>
          <w:sz w:val="20"/>
          <w:szCs w:val="20"/>
          <w14:ligatures w14:val="none"/>
        </w:rPr>
      </w:pPr>
      <w:r>
        <w:rPr>
          <w:rFonts w:ascii="Times New Roman" w:hAnsi="Times New Roman" w:eastAsia="Garamond" w:cs="Times New Roman"/>
          <w:kern w:val="0"/>
          <w:sz w:val="20"/>
          <w:szCs w:val="20"/>
          <w14:ligatures w14:val="none"/>
        </w:rPr>
        <w:t xml:space="preserve">līdz ar Eiropas un Āzijas savstarpējās tirdzniecības apjomu pieaugumu pastāv iespēja piesaistīt jaunas kravu plūsmas pārvadājumu maršrutos starp Eiropu un Ķīnu, tostarp preču tālākai nogādei uz Ziemeļeiropu. </w:t>
      </w:r>
    </w:p>
    <w:p w14:paraId="610C752F">
      <w:pPr>
        <w:numPr>
          <w:ilvl w:val="1"/>
          <w:numId w:val="1"/>
        </w:numPr>
        <w:spacing w:after="0" w:line="240" w:lineRule="auto"/>
        <w:jc w:val="both"/>
        <w:rPr>
          <w:rFonts w:ascii="Times New Roman" w:hAnsi="Times New Roman" w:eastAsia="Garamond" w:cs="Times New Roman"/>
          <w:kern w:val="0"/>
          <w:sz w:val="20"/>
          <w:szCs w:val="20"/>
          <w14:ligatures w14:val="none"/>
        </w:rPr>
      </w:pPr>
      <w:r>
        <w:rPr>
          <w:rFonts w:ascii="Times New Roman" w:hAnsi="Times New Roman" w:eastAsia="Garamond" w:cs="Times New Roman"/>
          <w:kern w:val="0"/>
          <w:sz w:val="20"/>
          <w:szCs w:val="20"/>
          <w14:ligatures w14:val="none"/>
        </w:rPr>
        <w:t>Dziļāka integrācija vienotajā Eiropas dzelzceļa telpā un efektīvi multimodālie savienojumi (TEN-T koridors, RFC 8 , potenciāli Baltijas jūras – Melnās jūras – Egejas jūras koridors u.c.);</w:t>
      </w:r>
    </w:p>
    <w:p w14:paraId="35F88712">
      <w:pPr>
        <w:numPr>
          <w:ilvl w:val="1"/>
          <w:numId w:val="1"/>
        </w:numPr>
        <w:spacing w:after="0" w:line="240" w:lineRule="auto"/>
        <w:jc w:val="both"/>
        <w:rPr>
          <w:rFonts w:ascii="Times New Roman" w:hAnsi="Times New Roman" w:eastAsia="Garamond" w:cs="Times New Roman"/>
          <w:kern w:val="0"/>
          <w:sz w:val="20"/>
          <w:szCs w:val="20"/>
          <w14:ligatures w14:val="none"/>
        </w:rPr>
      </w:pPr>
      <w:r>
        <w:rPr>
          <w:rFonts w:ascii="Times New Roman" w:hAnsi="Times New Roman" w:eastAsia="Garamond" w:cs="Times New Roman"/>
          <w:kern w:val="0"/>
          <w:sz w:val="20"/>
          <w:szCs w:val="20"/>
          <w14:ligatures w14:val="none"/>
        </w:rPr>
        <w:t>ostu partnerība dzelzceļa pārvadājumu biznesā un labi attīstīta dzelzceļa infrastruktūra to teritorijās;</w:t>
      </w:r>
    </w:p>
    <w:p w14:paraId="1A628A6B">
      <w:pPr>
        <w:numPr>
          <w:ilvl w:val="1"/>
          <w:numId w:val="1"/>
        </w:numPr>
        <w:spacing w:after="0" w:line="240" w:lineRule="auto"/>
        <w:jc w:val="both"/>
        <w:rPr>
          <w:rFonts w:ascii="Times New Roman" w:hAnsi="Times New Roman" w:eastAsia="Times New Roman" w:cs="Times New Roman"/>
          <w:sz w:val="20"/>
          <w:szCs w:val="20"/>
        </w:rPr>
      </w:pPr>
      <w:r>
        <w:rPr>
          <w:rFonts w:ascii="Times New Roman" w:hAnsi="Times New Roman" w:eastAsia="Garamond" w:cs="Times New Roman"/>
          <w:kern w:val="0"/>
          <w:sz w:val="20"/>
          <w:szCs w:val="20"/>
          <w14:ligatures w14:val="none"/>
        </w:rPr>
        <w:t>kopīgu attīstības projektu īstenošana, veidojot ciešāku sadarbību Baltijas valstu infrastruktūras pārvaldītāju starpā;</w:t>
      </w:r>
    </w:p>
    <w:p w14:paraId="5164EC48">
      <w:pPr>
        <w:numPr>
          <w:ilvl w:val="1"/>
          <w:numId w:val="1"/>
        </w:numPr>
        <w:spacing w:after="0" w:line="240" w:lineRule="auto"/>
        <w:jc w:val="both"/>
        <w:rPr>
          <w:rFonts w:ascii="Times New Roman" w:hAnsi="Times New Roman" w:eastAsia="Times New Roman" w:cs="Times New Roman"/>
          <w:sz w:val="20"/>
          <w:szCs w:val="20"/>
        </w:rPr>
      </w:pPr>
      <w:r>
        <w:rPr>
          <w:rFonts w:ascii="Times New Roman" w:hAnsi="Times New Roman" w:eastAsia="Garamond" w:cs="Times New Roman"/>
          <w:kern w:val="0"/>
          <w:sz w:val="20"/>
          <w:szCs w:val="20"/>
          <w14:ligatures w14:val="none"/>
        </w:rPr>
        <w:t>1520 mm un 1435 mm sliežu platuma infrastruktūras sinerģija līdz ar Rail Baltica izbūvi un attīstību.</w:t>
      </w:r>
    </w:p>
  </w:footnote>
  <w:footnote w:id="16">
    <w:p w14:paraId="5707C98A">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Attiecībā uz energoapgādi KEM norāda, ka Latvijā, pastāvot tehnoloģiskai neitralitātei, priekšroka netiek dota nevienai no atjaunīgās enerģijas tehnoloģijām. Papildus tam, Austrumu pierobežai atjaunīgās enerģijas attīstībā netiek dotas nekādas priekšrocības.</w:t>
      </w:r>
    </w:p>
  </w:footnote>
  <w:footnote w:id="17">
    <w:p w14:paraId="5CD12A34">
      <w:pPr>
        <w:spacing w:after="120" w:line="240" w:lineRule="auto"/>
        <w:jc w:val="both"/>
        <w:rPr>
          <w:rFonts w:ascii="Times New Roman" w:hAnsi="Times New Roman" w:cs="Times New Roman"/>
          <w:sz w:val="20"/>
          <w:szCs w:val="20"/>
        </w:rPr>
      </w:pPr>
      <w:r>
        <w:rPr>
          <w:rStyle w:val="20"/>
          <w:rFonts w:ascii="Times New Roman" w:hAnsi="Times New Roman" w:cs="Times New Roman"/>
          <w:sz w:val="20"/>
          <w:szCs w:val="20"/>
        </w:rPr>
        <w:footnoteRef/>
      </w:r>
      <w:r>
        <w:rPr>
          <w:rFonts w:ascii="Times New Roman" w:hAnsi="Times New Roman" w:cs="Times New Roman"/>
          <w:sz w:val="20"/>
          <w:szCs w:val="20"/>
        </w:rPr>
        <w:t xml:space="preserve"> 2024.gada 27.jūnijā notika pētījuma uzsākšanas sanāksme. Oktobrī izstrādātāji nodevuši izskatīšanai pētījuma metodoloģisko ietvaru. Plānots, ka starpnodevumi būs pieejami, sākot no 2025.gada 10.februāra. Gala nodevumi, t.sk. rekomendācijas, plānots sagatavot uz 2025.gada maiju. </w:t>
      </w:r>
    </w:p>
  </w:footnote>
  <w:footnote w:id="18">
    <w:p w14:paraId="4D4B057D">
      <w:pPr>
        <w:pStyle w:val="22"/>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ESPON. Challenges at EU_s North-East External Borders (CHANEBO). Inception Report. July 2024.</w:t>
      </w:r>
    </w:p>
  </w:footnote>
  <w:footnote w:id="19">
    <w:p w14:paraId="03B32919">
      <w:pPr>
        <w:pStyle w:val="22"/>
        <w:rPr>
          <w:lang w:val="lv-LV"/>
        </w:rPr>
      </w:pPr>
      <w:r>
        <w:rPr>
          <w:rStyle w:val="20"/>
        </w:rPr>
        <w:footnoteRef/>
      </w:r>
      <w:r>
        <w:t xml:space="preserve"> </w:t>
      </w:r>
      <w:r>
        <w:rPr>
          <w:rFonts w:ascii="Times New Roman" w:hAnsi="Times New Roman"/>
        </w:rPr>
        <w:t>2024.gada 2.oktobrī notika projekta īstenotāju un ieinteresēto pušu pirmā sanāksme.</w:t>
      </w:r>
    </w:p>
  </w:footnote>
  <w:footnote w:id="20">
    <w:p w14:paraId="39BB2FD3">
      <w:pPr>
        <w:pStyle w:val="22"/>
        <w:rPr>
          <w:lang w:val="lv-LV"/>
        </w:rPr>
      </w:pPr>
      <w:r>
        <w:rPr>
          <w:rStyle w:val="20"/>
        </w:rPr>
        <w:footnoteRef/>
      </w:r>
      <w:r>
        <w:t xml:space="preserve"> </w:t>
      </w:r>
      <w:r>
        <w:rPr>
          <w:rFonts w:ascii="Times New Roman" w:hAnsi="Times New Roman"/>
        </w:rPr>
        <w:t>Deklarācija par Evikas Siliņas vadītā Ministru kabineta iecerēto darbību, 4.punkts</w:t>
      </w:r>
    </w:p>
  </w:footnote>
  <w:footnote w:id="21">
    <w:p w14:paraId="20C71C01">
      <w:pPr>
        <w:pStyle w:val="22"/>
        <w:jc w:val="both"/>
        <w:rPr>
          <w:rFonts w:ascii="Times New Roman" w:hAnsi="Times New Roman"/>
          <w:lang w:val="lv-LV"/>
        </w:rPr>
      </w:pPr>
      <w:r>
        <w:rPr>
          <w:rStyle w:val="20"/>
          <w:rFonts w:ascii="Times New Roman" w:hAnsi="Times New Roman"/>
        </w:rPr>
        <w:footnoteRef/>
      </w:r>
      <w:r>
        <w:rPr>
          <w:rFonts w:ascii="Times New Roman" w:hAnsi="Times New Roman"/>
        </w:rPr>
        <w:t xml:space="preserve"> Teritoriālā pieeja nozīmē, ka ieguldījumi tiek balstīti uz teritoriju prioritātēm un teritoriju plānošanas dokumentiem, konkrētas teritorijas attīstību aplūkojot kompleksi. Pielietojot teritoriālo pieeju, nozaru politikas tiek veidotas un īstenotas savstarpēji koordinēti un saskaņoti ar teritoriju attīstības prioritātēm.</w:t>
      </w:r>
    </w:p>
  </w:footnote>
  <w:footnote w:id="22">
    <w:p w14:paraId="151B5CBC">
      <w:pPr>
        <w:pStyle w:val="22"/>
        <w:jc w:val="both"/>
        <w:rPr>
          <w:rFonts w:ascii="Times New Roman" w:hAnsi="Times New Roman"/>
          <w:lang w:val="lv-LV"/>
        </w:rPr>
      </w:pPr>
      <w:r>
        <w:rPr>
          <w:rStyle w:val="20"/>
          <w:rFonts w:ascii="Times New Roman" w:hAnsi="Times New Roman"/>
        </w:rPr>
        <w:footnoteRef/>
      </w:r>
      <w:r>
        <w:rPr>
          <w:rFonts w:ascii="Times New Roman" w:hAnsi="Times New Roman"/>
        </w:rPr>
        <w:t xml:space="preserve"> </w:t>
      </w:r>
      <w:r>
        <w:rPr>
          <w:rFonts w:ascii="Times New Roman" w:hAnsi="Times New Roman"/>
          <w:lang w:val="lv-LV"/>
        </w:rPr>
        <w:t xml:space="preserve">Pamatojoties uz Informatīvo ziņojumu “Par Eiropas Savienības fondu 2021.-2027.gada plānošanas perioda specifisko atbalsta mērķu un to pasākumu ieguldījumiem reģionos atbilstoši teritoriālajai pieejai” (apstiprināts MK 2023.gada 17.oktobra sēdē, protokola </w:t>
      </w:r>
      <w:r>
        <w:fldChar w:fldCharType="begin"/>
      </w:r>
      <w:r>
        <w:instrText xml:space="preserve"> HYPERLINK "https://tapportals.mk.gov.lv/meetings/protocols/733fd3cc-b765-4a98-adf7-fa04c26f84b4" \l "meeting-protocol-preview-52" </w:instrText>
      </w:r>
      <w:r>
        <w:fldChar w:fldCharType="separate"/>
      </w:r>
      <w:r>
        <w:rPr>
          <w:rStyle w:val="24"/>
          <w:rFonts w:ascii="Times New Roman" w:hAnsi="Times New Roman"/>
          <w:lang w:val="lv-LV"/>
        </w:rPr>
        <w:t>Nr.52/27.§</w:t>
      </w:r>
      <w:r>
        <w:rPr>
          <w:rStyle w:val="24"/>
          <w:rFonts w:ascii="Times New Roman" w:hAnsi="Times New Roman"/>
          <w:lang w:val="lv-LV"/>
        </w:rPr>
        <w:fldChar w:fldCharType="end"/>
      </w:r>
      <w:r>
        <w:rPr>
          <w:rFonts w:ascii="Times New Roman" w:hAnsi="Times New Roman"/>
          <w:lang w:val="lv-LV"/>
        </w:rPr>
        <w:t>). Grafikā ziņojumā konceptuāli iezīmētais finansējums nedaudz koriģēts atbilstoši aktuālajai pieejamo ES fondu informācijai.</w:t>
      </w:r>
    </w:p>
  </w:footnote>
  <w:footnote w:id="23">
    <w:p w14:paraId="5EA43F2B">
      <w:pPr>
        <w:pStyle w:val="22"/>
        <w:jc w:val="both"/>
        <w:rPr>
          <w:lang w:val="lv-LV"/>
        </w:rPr>
      </w:pPr>
      <w:r>
        <w:rPr>
          <w:rStyle w:val="20"/>
        </w:rPr>
        <w:footnoteRef/>
      </w:r>
      <w:r>
        <w:rPr>
          <w:lang w:val="lv-LV"/>
        </w:rPr>
        <w:t xml:space="preserve"> </w:t>
      </w:r>
      <w:r>
        <w:rPr>
          <w:rFonts w:ascii="Times New Roman" w:hAnsi="Times New Roman"/>
          <w:lang w:val="lv-LV"/>
        </w:rPr>
        <w:t>Papildus visā Latvijā Labklājības ministrija īstenos pasākumus “Minimālā sociālo pakalpojumu groza ieviešana” un “Reģionālās mobilitātes veicināšana”. Kultūras ministrija ārpus šī plāna ietvara Latgalē īstenos pasākumus “Profesionālā teātra atbalsts izrāžu veidošanai latgaliešu valodā” un “Latviešu vēsturisko zemju attīstības programma – Latgales kultūras programma”.</w:t>
      </w:r>
    </w:p>
  </w:footnote>
  <w:footnote w:id="24">
    <w:p w14:paraId="328326E9">
      <w:pPr>
        <w:pStyle w:val="22"/>
        <w:jc w:val="both"/>
        <w:rPr>
          <w:rFonts w:ascii="Times New Roman" w:hAnsi="Times New Roman"/>
          <w:lang w:val="lv-LV"/>
        </w:rPr>
      </w:pPr>
      <w:r>
        <w:rPr>
          <w:rStyle w:val="20"/>
          <w:rFonts w:ascii="Times New Roman" w:hAnsi="Times New Roman"/>
        </w:rPr>
        <w:footnoteRef/>
      </w:r>
      <w:r>
        <w:rPr>
          <w:rFonts w:ascii="Times New Roman" w:hAnsi="Times New Roman"/>
          <w:lang w:val="lv-LV"/>
        </w:rPr>
        <w:t xml:space="preserve"> Šobrīd iedzīvotāju skaits pēc PLMP datiem gadā vidēji samazinās par 2%.</w:t>
      </w:r>
    </w:p>
  </w:footnote>
  <w:footnote w:id="25">
    <w:p w14:paraId="77AE7518">
      <w:pPr>
        <w:pStyle w:val="22"/>
        <w:rPr>
          <w:lang w:val="lv-LV"/>
        </w:rPr>
      </w:pPr>
      <w:r>
        <w:rPr>
          <w:rStyle w:val="20"/>
        </w:rPr>
        <w:footnoteRef/>
      </w:r>
      <w:r>
        <w:rPr>
          <w:lang w:val="lv-LV"/>
        </w:rPr>
        <w:t xml:space="preserve"> </w:t>
      </w:r>
      <w:r>
        <w:rPr>
          <w:rFonts w:ascii="Times New Roman" w:hAnsi="Times New Roman"/>
          <w:lang w:val="lv-LV"/>
        </w:rPr>
        <w:t>Iznākuma rādītājs apzīmēts ar *, rezultāta rādītājs ar **.</w:t>
      </w:r>
    </w:p>
  </w:footnote>
  <w:footnote w:id="26">
    <w:p w14:paraId="0216AA1E">
      <w:pPr>
        <w:spacing w:after="0" w:line="240" w:lineRule="auto"/>
        <w:jc w:val="both"/>
        <w:rPr>
          <w:rFonts w:ascii="Times New Roman" w:hAnsi="Times New Roman" w:cs="Times New Roman"/>
          <w:sz w:val="20"/>
          <w:szCs w:val="20"/>
        </w:rPr>
      </w:pPr>
      <w:r>
        <w:rPr>
          <w:rStyle w:val="20"/>
          <w:rFonts w:ascii="Times New Roman" w:hAnsi="Times New Roman" w:cs="Times New Roman"/>
          <w:sz w:val="20"/>
          <w:szCs w:val="20"/>
        </w:rPr>
        <w:footnoteRef/>
      </w:r>
      <w:r>
        <w:rPr>
          <w:rFonts w:ascii="Times New Roman" w:hAnsi="Times New Roman" w:cs="Times New Roman"/>
          <w:sz w:val="20"/>
          <w:szCs w:val="20"/>
        </w:rPr>
        <w:t xml:space="preserve"> T.sk.: 1) konkurss Latgales medijiem un NVO, kura mērķis ir sniegt finansiālu atbalstu, lai stiprinātu Latgales un austrumu pierobežas informatīvo telpu, veicinot reģionā dzīvojošo iedzīvotāju izpratni un informētību par aizsardzības nozari un visaptverošu valsts aizsardzību, kā arī iesaistot reģiona iedzīvotājus NVO organizētos dažādos ar aizsardzības nozari saistītu aktivitāšu un projektu norisē; 2) ikgadējie VVA reģionālo semināru cikli, lai reģionu viedokļu līderus informētu par aktualitātēm, tostarp tiek aicināti arī NVO un mediji.</w:t>
      </w:r>
    </w:p>
  </w:footnote>
  <w:footnote w:id="27">
    <w:p w14:paraId="3A88FB31">
      <w:pPr>
        <w:pStyle w:val="22"/>
        <w:rPr>
          <w:lang w:val="lv-LV"/>
        </w:rPr>
      </w:pPr>
      <w:r>
        <w:rPr>
          <w:rStyle w:val="20"/>
        </w:rPr>
        <w:footnoteRef/>
      </w:r>
      <w:r>
        <w:rPr>
          <w:lang w:val="lv-LV"/>
        </w:rPr>
        <w:t xml:space="preserve"> </w:t>
      </w:r>
      <w:r>
        <w:rPr>
          <w:rFonts w:ascii="Times New Roman" w:hAnsi="Times New Roman"/>
          <w:lang w:val="lv-LV"/>
        </w:rPr>
        <w:t>Saskaņā ar AiM sniegto informāciju precīzu finansējuma apjomu šim pasākumam norādīt plāna izstrādes laikā nav iespējams.</w:t>
      </w:r>
    </w:p>
  </w:footnote>
  <w:footnote w:id="28">
    <w:p w14:paraId="34196CC8">
      <w:pPr>
        <w:pStyle w:val="22"/>
        <w:rPr>
          <w:rFonts w:ascii="Times New Roman" w:hAnsi="Times New Roman"/>
          <w:lang w:val="lv-LV"/>
        </w:rPr>
      </w:pPr>
      <w:r>
        <w:rPr>
          <w:rStyle w:val="20"/>
          <w:rFonts w:ascii="Times New Roman" w:hAnsi="Times New Roman"/>
        </w:rPr>
        <w:footnoteRef/>
      </w:r>
      <w:r>
        <w:rPr>
          <w:rFonts w:ascii="Times New Roman" w:hAnsi="Times New Roman"/>
          <w:lang w:val="lv-LV"/>
        </w:rPr>
        <w:t xml:space="preserve"> VK koordinē/apkopo vizīšu kalendāru, bet finansējums vizītēm no katras ministrijas budžeta.</w:t>
      </w:r>
    </w:p>
  </w:footnote>
  <w:footnote w:id="29">
    <w:p w14:paraId="4BBAA89D">
      <w:pPr>
        <w:pStyle w:val="22"/>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T.sk.: 1) aizsardzības nozare ikgadēji organizē seminārus “Rupors” un mācības “Pilskalns”; 2) ikgadējie VVA reģionālo semināru cikli, lai reģiona viedokļu līderus informētu par aktualitātēm; 3) NBS un AiM pārstāvju tikšanās ar pašvaldību vadītājiem un reģionālajiem medijiem, lai apspriestu aktuālos jautājumus, tostarp, Austrumu pierobežas jautājumus.</w:t>
      </w:r>
    </w:p>
  </w:footnote>
  <w:footnote w:id="30">
    <w:p w14:paraId="52E379F5">
      <w:pPr>
        <w:pStyle w:val="22"/>
        <w:rPr>
          <w:rFonts w:ascii="Times New Roman" w:hAnsi="Times New Roman"/>
          <w:lang w:val="lv-LV"/>
        </w:rPr>
      </w:pPr>
      <w:r>
        <w:rPr>
          <w:rStyle w:val="20"/>
          <w:rFonts w:ascii="Times New Roman" w:hAnsi="Times New Roman"/>
        </w:rPr>
        <w:footnoteRef/>
      </w:r>
      <w:r>
        <w:rPr>
          <w:rFonts w:ascii="Times New Roman" w:hAnsi="Times New Roman"/>
          <w:lang w:val="lv-LV"/>
        </w:rPr>
        <w:t xml:space="preserve"> Precīzu finansējuma apjomu nav iespējams norādīt, jo tas ietverts AiM darbinieku atalgojumā.</w:t>
      </w:r>
    </w:p>
  </w:footnote>
  <w:footnote w:id="31">
    <w:p w14:paraId="7BCA8D8F">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Uzņēmumu kartēšanas mērķis ir izveidot katalogu ar divējāda un militāra lietojuma produktu ražošanas uzņēmumiem, ko izmantot piegādes drošības prasības izpildei aizsardzības nozares lielo spēju iepirkumos. AiM ir izvirzījusi prasību lielo spēju iepirkumos ārzemju uzņēmumiem nodrošināt vietējās industrijas iesaisti.</w:t>
      </w:r>
    </w:p>
  </w:footnote>
  <w:footnote w:id="32">
    <w:p w14:paraId="24A593D2">
      <w:pPr>
        <w:pStyle w:val="22"/>
        <w:rPr>
          <w:rFonts w:ascii="Times New Roman" w:hAnsi="Times New Roman"/>
          <w:lang w:val="lv-LV"/>
        </w:rPr>
      </w:pPr>
      <w:r>
        <w:rPr>
          <w:rStyle w:val="20"/>
          <w:rFonts w:ascii="Times New Roman" w:hAnsi="Times New Roman"/>
        </w:rPr>
        <w:footnoteRef/>
      </w:r>
      <w:r>
        <w:rPr>
          <w:rFonts w:ascii="Times New Roman" w:hAnsi="Times New Roman"/>
          <w:lang w:val="lv-LV"/>
        </w:rPr>
        <w:t xml:space="preserve"> Precīzu finansējuma apjomu nav iespējams norādīt, jo tas ietverts AiM darbinieku atalgojumā.</w:t>
      </w:r>
    </w:p>
  </w:footnote>
  <w:footnote w:id="33">
    <w:p w14:paraId="7F24B647">
      <w:pPr>
        <w:spacing w:after="0" w:line="240" w:lineRule="auto"/>
        <w:jc w:val="both"/>
        <w:rPr>
          <w:rFonts w:ascii="Times New Roman" w:hAnsi="Times New Roman" w:cs="Times New Roman"/>
          <w:sz w:val="20"/>
          <w:szCs w:val="20"/>
        </w:rPr>
      </w:pPr>
      <w:r>
        <w:rPr>
          <w:rStyle w:val="20"/>
          <w:rFonts w:ascii="Times New Roman" w:hAnsi="Times New Roman" w:cs="Times New Roman"/>
          <w:sz w:val="20"/>
          <w:szCs w:val="20"/>
        </w:rPr>
        <w:footnoteRef/>
      </w:r>
      <w:r>
        <w:rPr>
          <w:rFonts w:ascii="Times New Roman" w:hAnsi="Times New Roman" w:cs="Times New Roman"/>
          <w:sz w:val="20"/>
          <w:szCs w:val="20"/>
        </w:rPr>
        <w:t xml:space="preserve"> Plāna mērķis: stiprināt valsts drošību, savlaicīgi īstenojot laika un resursu ziņā ietilpīgus pretmobilitātes pasākumus uz LR austrumu robežas un tai pieguļošajās teritorijās, lai sekmētu NBS spēju ierobežot pretinieka sauszemes spēku formējumiem viegli šķērsot valsts robežu un strauji virzīties LR iekšienē.</w:t>
      </w:r>
    </w:p>
  </w:footnote>
  <w:footnote w:id="34">
    <w:p w14:paraId="3E71BD93">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2024.gada 5.martā Ministru kabinetā apstiprināts Austrumu robežas militārās stiprināšanas un pretmobilitātes plāns laika periodam no 2024.-2028. gadam, paredzot līdzekļus 303 000 000 </w:t>
      </w:r>
      <w:r>
        <w:rPr>
          <w:rFonts w:ascii="Times New Roman" w:hAnsi="Times New Roman"/>
          <w:i/>
          <w:iCs/>
          <w:lang w:val="lv-LV"/>
        </w:rPr>
        <w:t>euro</w:t>
      </w:r>
      <w:r>
        <w:rPr>
          <w:rFonts w:ascii="Times New Roman" w:hAnsi="Times New Roman"/>
          <w:lang w:val="lv-LV"/>
        </w:rPr>
        <w:t xml:space="preserve"> apmērā, kas paredz pasākumus valsts drošības stiprināšanai, īstenojot pretmobilitātes pasākumus un attīstot NBS spējas. Resursi, kas attiecināmi tieši uz Latgales reģionu laika posmā no 2025.-2027. gadam ir 21 500 000 </w:t>
      </w:r>
      <w:r>
        <w:rPr>
          <w:rFonts w:ascii="Times New Roman" w:hAnsi="Times New Roman"/>
          <w:i/>
          <w:iCs/>
          <w:lang w:val="lv-LV"/>
        </w:rPr>
        <w:t>euro</w:t>
      </w:r>
      <w:r>
        <w:rPr>
          <w:rFonts w:ascii="Times New Roman" w:hAnsi="Times New Roman"/>
          <w:lang w:val="lv-LV"/>
        </w:rPr>
        <w:t>.</w:t>
      </w:r>
    </w:p>
  </w:footnote>
  <w:footnote w:id="35">
    <w:p w14:paraId="2C828CF1">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Saskaņā ar Latvijas Pilsoniskās alianses vēstuli Nr. 1.8.-2 “Par Rīcības plānu Austrumu pierobežas ekonomiskajai attīstībai 2024.-2026. gadam”.</w:t>
      </w:r>
    </w:p>
  </w:footnote>
  <w:footnote w:id="36">
    <w:p w14:paraId="2765B98B">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Atbalsts nevalstiskajām organizācijām tiks nodrošināts atbilstoši konceptuālajā ziņojumā „Par valsts finansēta nevalstisko organizāciju fonda izveidi” ietvertajiem NVO darbības virzieniem. Konceptuālais ziņojums „Par valsts finansēta nevalstisko organizāciju fonda izveidi” apstiprināts ar Ministru kabineta 2015.gada 16.decembra rīkojumu Nr.792 ,,Par konceptuālo ziņojumu ,,Par valsts finansēta nevalstisko organizāciju fonda izveidi””. Pieejams: https://likumi.lv/ta/id/278602-par-konceptualo-zinojumu-par-valsts-finanseta-nevalstisko-organizaciju-fonda-izveidi.</w:t>
      </w:r>
    </w:p>
  </w:footnote>
  <w:footnote w:id="37">
    <w:p w14:paraId="048BC19F">
      <w:pPr>
        <w:pStyle w:val="22"/>
        <w:jc w:val="both"/>
        <w:rPr>
          <w:rFonts w:ascii="Times New Roman" w:hAnsi="Times New Roman"/>
          <w:lang w:val="lv-LV"/>
        </w:rPr>
      </w:pPr>
      <w:r>
        <w:rPr>
          <w:rStyle w:val="20"/>
          <w:rFonts w:ascii="Times New Roman" w:hAnsi="Times New Roman"/>
        </w:rPr>
        <w:footnoteRef/>
      </w:r>
      <w:r>
        <w:rPr>
          <w:rFonts w:ascii="Times New Roman" w:hAnsi="Times New Roman"/>
        </w:rPr>
        <w:t xml:space="preserve"> Valsts budžeta programmā “NVO fonds”.</w:t>
      </w:r>
    </w:p>
  </w:footnote>
  <w:footnote w:id="38">
    <w:p w14:paraId="008FA61D">
      <w:pPr>
        <w:pStyle w:val="22"/>
        <w:rPr>
          <w:rFonts w:ascii="Times New Roman" w:hAnsi="Times New Roman"/>
          <w:lang w:val="lv-LV"/>
        </w:rPr>
      </w:pPr>
      <w:r>
        <w:rPr>
          <w:rStyle w:val="20"/>
          <w:rFonts w:ascii="Times New Roman" w:hAnsi="Times New Roman"/>
        </w:rPr>
        <w:footnoteRef/>
      </w:r>
      <w:r>
        <w:rPr>
          <w:rFonts w:ascii="Times New Roman" w:hAnsi="Times New Roman"/>
          <w:lang w:val="lv-LV"/>
        </w:rPr>
        <w:t xml:space="preserve"> Saskaņā ar AiM sniegto informāciju precīzu finansējuma apjomu šim pasākumam norādīt plāna izstrādes laikā nav iespējams.</w:t>
      </w:r>
    </w:p>
  </w:footnote>
  <w:footnote w:id="39">
    <w:p w14:paraId="21E4669A">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Ģeopolitiskā situācija pasaulē rada nepieciešamību pēc papildu atbalsta ES Austrumu ārējās robežas valstīm. Atbalsta nodrošināšana ES Austrumu pierobežas attīstībai nākotnes Kohēzijas politikas kontekstā (sadarbībā ar Somiju, Lietuvu, Igauniju, Poliju). Jauns koncepts attiecībā uz ieguldījumiem infrastruktūras attīstībai, īstenojot divējādas lietojamības risinājumus. Eiropas Komisijas prezidentes Urzulas fon der Leienas misijas vēstulē komisāram Fitto cita starpā uzdots turpināt darbu pie atbalsta sniegšanas austrumu pierobežas reģioniem, kurus visvairāk ir ietekmējusi Krievijas agresija, risinot to specifiskos izaicinājumus un atbalstot tos, lai pārorientētu to vietējās ekonomikas.</w:t>
      </w:r>
    </w:p>
  </w:footnote>
  <w:footnote w:id="40">
    <w:p w14:paraId="5240E109">
      <w:pPr>
        <w:pStyle w:val="22"/>
        <w:rPr>
          <w:lang w:val="lv-LV"/>
        </w:rPr>
      </w:pPr>
      <w:r>
        <w:rPr>
          <w:rStyle w:val="20"/>
        </w:rPr>
        <w:footnoteRef/>
      </w:r>
      <w:r>
        <w:rPr>
          <w:lang w:val="lv-LV"/>
        </w:rPr>
        <w:t xml:space="preserve"> </w:t>
      </w:r>
      <w:r>
        <w:rPr>
          <w:rFonts w:ascii="Times New Roman" w:hAnsi="Times New Roman"/>
          <w:lang w:val="lv-LV"/>
        </w:rPr>
        <w:t>Precīzu finansējuma apjomu nav iespējams norādīt, jo uzdevuma izpilde tiks nodrošināta ar esošajiem cilvēkresursiem.</w:t>
      </w:r>
    </w:p>
  </w:footnote>
  <w:footnote w:id="41">
    <w:p w14:paraId="1E05F95D">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Rezervēts no budžeta resora “74. Gadskārtējā valsts budžeta izpildes procesā pārdalāmais finansējums” programmas 18.00.00 “Finansējums valsts drošības stiprināšanas pasākumiem” pasākumam “Valsts ugunsdzēsības un glābšanas dienesta depo – katastrofu pārvaldības centri”.</w:t>
      </w:r>
    </w:p>
  </w:footnote>
  <w:footnote w:id="42">
    <w:p w14:paraId="5CAB2AFF">
      <w:pPr>
        <w:pStyle w:val="22"/>
        <w:rPr>
          <w:rFonts w:ascii="Times New Roman" w:hAnsi="Times New Roman"/>
          <w:lang w:val="lv-LV"/>
        </w:rPr>
      </w:pPr>
      <w:r>
        <w:rPr>
          <w:rStyle w:val="20"/>
          <w:rFonts w:ascii="Times New Roman" w:hAnsi="Times New Roman"/>
        </w:rPr>
        <w:footnoteRef/>
      </w:r>
      <w:r>
        <w:rPr>
          <w:rFonts w:ascii="Times New Roman" w:hAnsi="Times New Roman"/>
          <w:lang w:val="lv-LV"/>
        </w:rPr>
        <w:t xml:space="preserve"> ES fondu pasākumiem rezultātu sasniegšanā tiek piemērots princips N+2.</w:t>
      </w:r>
    </w:p>
  </w:footnote>
  <w:footnote w:id="43">
    <w:p w14:paraId="69251562">
      <w:pPr>
        <w:pStyle w:val="22"/>
        <w:rPr>
          <w:rFonts w:ascii="Times New Roman" w:hAnsi="Times New Roman"/>
          <w:lang w:val="lv-LV"/>
        </w:rPr>
      </w:pPr>
      <w:r>
        <w:rPr>
          <w:rStyle w:val="20"/>
          <w:rFonts w:ascii="Times New Roman" w:hAnsi="Times New Roman"/>
        </w:rPr>
        <w:footnoteRef/>
      </w:r>
      <w:r>
        <w:rPr>
          <w:rFonts w:ascii="Times New Roman" w:hAnsi="Times New Roman"/>
          <w:lang w:val="lv-LV"/>
        </w:rPr>
        <w:t xml:space="preserve"> Šeit un turpmāk izmantoti ES fondu līdzfinansēto pasākumu īsie nosaukumi, pieejami: </w:t>
      </w:r>
      <w:r>
        <w:fldChar w:fldCharType="begin"/>
      </w:r>
      <w:r>
        <w:instrText xml:space="preserve"> HYPERLINK "https://www.esfondi.lv/profesionaliem/planosana/planotas-atlases-2" </w:instrText>
      </w:r>
      <w:r>
        <w:fldChar w:fldCharType="separate"/>
      </w:r>
      <w:r>
        <w:rPr>
          <w:rStyle w:val="24"/>
          <w:rFonts w:ascii="Times New Roman" w:hAnsi="Times New Roman"/>
          <w:lang w:val="lv-LV"/>
        </w:rPr>
        <w:t>https://www.esfondi.lv/profesionaliem/planosana/planotas-atlases-2</w:t>
      </w:r>
      <w:r>
        <w:rPr>
          <w:rStyle w:val="24"/>
          <w:rFonts w:ascii="Times New Roman" w:hAnsi="Times New Roman"/>
          <w:lang w:val="lv-LV"/>
        </w:rPr>
        <w:fldChar w:fldCharType="end"/>
      </w:r>
      <w:r>
        <w:rPr>
          <w:rFonts w:ascii="Times New Roman" w:hAnsi="Times New Roman"/>
          <w:lang w:val="lv-LV"/>
        </w:rPr>
        <w:t xml:space="preserve">. </w:t>
      </w:r>
    </w:p>
  </w:footnote>
  <w:footnote w:id="44">
    <w:p w14:paraId="02307FF4">
      <w:pPr>
        <w:pStyle w:val="22"/>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Jāņem vērā, ka finanšu instrumentos netiek noteikta kvota, bet prioritāra atlase noteiktam reģionam. Ja nav pieprasījums, finansējums tiek novirzīts projektiem visā Latvijā.</w:t>
      </w:r>
    </w:p>
  </w:footnote>
  <w:footnote w:id="45">
    <w:p w14:paraId="2321B040">
      <w:pPr>
        <w:spacing w:after="0" w:line="240" w:lineRule="auto"/>
        <w:jc w:val="both"/>
        <w:rPr>
          <w:rFonts w:ascii="Times New Roman" w:hAnsi="Times New Roman" w:cs="Times New Roman"/>
          <w:sz w:val="20"/>
          <w:szCs w:val="20"/>
        </w:rPr>
      </w:pPr>
      <w:r>
        <w:rPr>
          <w:rStyle w:val="20"/>
          <w:rFonts w:ascii="Times New Roman" w:hAnsi="Times New Roman" w:cs="Times New Roman"/>
          <w:sz w:val="20"/>
          <w:szCs w:val="20"/>
        </w:rPr>
        <w:footnoteRef/>
      </w:r>
      <w:r>
        <w:rPr>
          <w:rFonts w:ascii="Times New Roman" w:hAnsi="Times New Roman" w:cs="Times New Roman"/>
          <w:sz w:val="20"/>
          <w:szCs w:val="20"/>
        </w:rPr>
        <w:t xml:space="preserve"> Lai sekmētu austrumu reģionu ekonomisko attīstību, projekta vērtēšanas kritērijos ir paredzēts piešķirt prioritāti komersantiem no Latvijas plānošanas reģioniem ar zemāko IKP.</w:t>
      </w:r>
    </w:p>
  </w:footnote>
  <w:footnote w:id="46">
    <w:p w14:paraId="03D849F7">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2024.gada 23.jūlija MK sēdē (prot. Nr. 30, 57.§) pieņemtajā informatīvajā ziņojumā “Par Latvijas Republikas ārējās robežas stiprināšanas risinājuma izvērtējumu un turpmāko rīcību” izklāstīts risinājums visaptverošai ārējās sauszemes robežšķērsošanas vietu (RŠV) pārvaldībai, nodrošinot transportlīdzekļu automatizētu kustības organizāciju un ieviešot elektronisko rindu sistēmu.  </w:t>
      </w:r>
    </w:p>
    <w:p w14:paraId="1B9A28CD">
      <w:pPr>
        <w:pStyle w:val="22"/>
        <w:jc w:val="both"/>
        <w:rPr>
          <w:rFonts w:ascii="Times New Roman" w:hAnsi="Times New Roman"/>
          <w:lang w:val="lv-LV"/>
        </w:rPr>
      </w:pPr>
      <w:r>
        <w:rPr>
          <w:rFonts w:ascii="Times New Roman" w:hAnsi="Times New Roman"/>
          <w:i/>
          <w:iCs/>
          <w:lang w:val="lv-LV"/>
        </w:rPr>
        <w:t>Finansējums:</w:t>
      </w:r>
      <w:r>
        <w:rPr>
          <w:rFonts w:ascii="Times New Roman" w:hAnsi="Times New Roman"/>
          <w:lang w:val="lv-LV"/>
        </w:rPr>
        <w:t xml:space="preserve"> </w:t>
      </w:r>
      <w:r>
        <w:rPr>
          <w:rFonts w:ascii="Times New Roman" w:hAnsi="Times New Roman"/>
          <w:i/>
          <w:iCs/>
          <w:lang w:val="lv-LV"/>
        </w:rPr>
        <w:t>ES kohēzijas politikas programmas 2021. - 2027. gadam</w:t>
      </w:r>
      <w:r>
        <w:rPr>
          <w:rFonts w:ascii="Times New Roman" w:hAnsi="Times New Roman"/>
          <w:lang w:val="lv-LV"/>
        </w:rPr>
        <w:t xml:space="preserve"> finansējuma pārdalījuma ietvaros risinājuma abiem posmiem paredzēts pārdalīt finansējumu 8 374 741 </w:t>
      </w:r>
      <w:r>
        <w:rPr>
          <w:rFonts w:ascii="Times New Roman" w:hAnsi="Times New Roman"/>
          <w:i/>
          <w:iCs/>
          <w:lang w:val="lv-LV"/>
        </w:rPr>
        <w:t>euro</w:t>
      </w:r>
      <w:r>
        <w:rPr>
          <w:rFonts w:ascii="Times New Roman" w:hAnsi="Times New Roman"/>
          <w:lang w:val="lv-LV"/>
        </w:rPr>
        <w:t xml:space="preserve">, t.sk. ES fondu daļa - 7 118 530 </w:t>
      </w:r>
      <w:r>
        <w:rPr>
          <w:rFonts w:ascii="Times New Roman" w:hAnsi="Times New Roman"/>
          <w:i/>
          <w:iCs/>
          <w:lang w:val="lv-LV"/>
        </w:rPr>
        <w:t>euro</w:t>
      </w:r>
      <w:r>
        <w:rPr>
          <w:rFonts w:ascii="Times New Roman" w:hAnsi="Times New Roman"/>
          <w:lang w:val="lv-LV"/>
        </w:rPr>
        <w:t xml:space="preserve"> apmērā.</w:t>
      </w:r>
    </w:p>
    <w:p w14:paraId="041C106D">
      <w:pPr>
        <w:pStyle w:val="22"/>
        <w:jc w:val="both"/>
        <w:rPr>
          <w:rFonts w:ascii="Times New Roman" w:hAnsi="Times New Roman"/>
          <w:lang w:val="lv-LV"/>
        </w:rPr>
      </w:pPr>
      <w:r>
        <w:rPr>
          <w:rFonts w:ascii="Times New Roman" w:hAnsi="Times New Roman"/>
          <w:i/>
          <w:iCs/>
          <w:u w:val="single"/>
          <w:lang w:val="lv-LV"/>
        </w:rPr>
        <w:t>Pirmā posma</w:t>
      </w:r>
      <w:r>
        <w:rPr>
          <w:rFonts w:ascii="Times New Roman" w:hAnsi="Times New Roman"/>
          <w:lang w:val="lv-LV"/>
        </w:rPr>
        <w:t xml:space="preserve"> finansējums – saskaņā ar Ministru komitejas par ES fondu jautājumiem 2023. gada 19.oktobra sēdē pieņemto lēmumu par finansējuma pārdali Viedās robežas vajadzībām, noteikts 2 500 000 </w:t>
      </w:r>
      <w:r>
        <w:rPr>
          <w:rFonts w:ascii="Times New Roman" w:hAnsi="Times New Roman"/>
          <w:i/>
          <w:iCs/>
          <w:lang w:val="lv-LV"/>
        </w:rPr>
        <w:t>euro</w:t>
      </w:r>
      <w:r>
        <w:rPr>
          <w:rFonts w:ascii="Times New Roman" w:hAnsi="Times New Roman"/>
          <w:lang w:val="lv-LV"/>
        </w:rPr>
        <w:t xml:space="preserve"> apmērā (ES fondu daļa – 2 125 000 </w:t>
      </w:r>
      <w:r>
        <w:rPr>
          <w:rFonts w:ascii="Times New Roman" w:hAnsi="Times New Roman"/>
          <w:i/>
          <w:iCs/>
          <w:lang w:val="lv-LV"/>
        </w:rPr>
        <w:t>euro</w:t>
      </w:r>
      <w:r>
        <w:rPr>
          <w:rFonts w:ascii="Times New Roman" w:hAnsi="Times New Roman"/>
          <w:lang w:val="lv-LV"/>
        </w:rPr>
        <w:t>).  </w:t>
      </w:r>
    </w:p>
    <w:p w14:paraId="17F9357A">
      <w:pPr>
        <w:pStyle w:val="22"/>
        <w:jc w:val="both"/>
        <w:rPr>
          <w:lang w:val="lv-LV"/>
        </w:rPr>
      </w:pPr>
      <w:r>
        <w:rPr>
          <w:rFonts w:ascii="Times New Roman" w:hAnsi="Times New Roman"/>
          <w:i/>
          <w:iCs/>
          <w:u w:val="single"/>
          <w:lang w:val="lv-LV"/>
        </w:rPr>
        <w:t>Otrā posma</w:t>
      </w:r>
      <w:r>
        <w:rPr>
          <w:rFonts w:ascii="Times New Roman" w:hAnsi="Times New Roman"/>
          <w:lang w:val="lv-LV"/>
        </w:rPr>
        <w:t xml:space="preserve"> finansējums - </w:t>
      </w:r>
      <w:r>
        <w:rPr>
          <w:rFonts w:ascii="Times New Roman" w:hAnsi="Times New Roman"/>
          <w:i/>
          <w:iCs/>
          <w:lang w:val="lv-LV"/>
        </w:rPr>
        <w:t>Eiropas Savienības kohēzijas politikas programmas 2021.-2027.gadam</w:t>
      </w:r>
      <w:r>
        <w:rPr>
          <w:rFonts w:ascii="Times New Roman" w:hAnsi="Times New Roman"/>
          <w:lang w:val="lv-LV"/>
        </w:rPr>
        <w:t xml:space="preserve"> 1.3.1. specifiskā atbalsta mērķa  “Izmantot digitalizācijas priekšrocības iedzīvotājiem, uzņēmumiem, pētniecības organizācijām un publiskajām iestādēm” 1.3.1.1. pasākuma “IKT risinājumu un pakalpojumu attīstība un iespēju radīšana privātajam sektoram” ietvaros noteikts 5 874 741 </w:t>
      </w:r>
      <w:r>
        <w:rPr>
          <w:rFonts w:ascii="Times New Roman" w:hAnsi="Times New Roman"/>
          <w:i/>
          <w:lang w:val="lv-LV"/>
        </w:rPr>
        <w:t>euro</w:t>
      </w:r>
      <w:r>
        <w:rPr>
          <w:rFonts w:ascii="Times New Roman" w:hAnsi="Times New Roman"/>
          <w:lang w:val="lv-LV"/>
        </w:rPr>
        <w:t xml:space="preserve"> apmērā (ERAF finansējums – 4 993 530 </w:t>
      </w:r>
      <w:r>
        <w:rPr>
          <w:rFonts w:ascii="Times New Roman" w:hAnsi="Times New Roman"/>
          <w:i/>
          <w:iCs/>
          <w:lang w:val="lv-LV"/>
        </w:rPr>
        <w:t>euro</w:t>
      </w:r>
      <w:r>
        <w:rPr>
          <w:rFonts w:ascii="Times New Roman" w:hAnsi="Times New Roman"/>
          <w:lang w:val="lv-LV"/>
        </w:rPr>
        <w:t>).</w:t>
      </w:r>
    </w:p>
  </w:footnote>
  <w:footnote w:id="47">
    <w:p w14:paraId="26F0DE7D">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FM šobrīd notiek darbs pie PPP modeļa izstrādes pieejamu mājokļu būvniecībā ar īres maksas subsīdijas mehānismu, kas visvairāk atbilstu plāna priekšlikuma saturam, jo EM izstrādātais Mājokļu pieejamības fonds nesubsidē īres maksu, bet gan nodrošina attīstītājiem kapitāla atlaidi un garu aizdevuma termiņu dzīvojamās mājas būvniecībai, kas nodrošina zemu īres maksu.</w:t>
      </w:r>
    </w:p>
  </w:footnote>
  <w:footnote w:id="48">
    <w:p w14:paraId="2936C294">
      <w:pPr>
        <w:spacing w:after="0" w:line="240" w:lineRule="auto"/>
        <w:jc w:val="both"/>
        <w:rPr>
          <w:rFonts w:ascii="Times New Roman" w:hAnsi="Times New Roman" w:cs="Times New Roman"/>
          <w:sz w:val="20"/>
          <w:szCs w:val="20"/>
        </w:rPr>
      </w:pPr>
      <w:r>
        <w:rPr>
          <w:rStyle w:val="20"/>
          <w:rFonts w:ascii="Times New Roman" w:hAnsi="Times New Roman" w:cs="Times New Roman"/>
          <w:sz w:val="20"/>
          <w:szCs w:val="20"/>
        </w:rPr>
        <w:footnoteRef/>
      </w:r>
      <w:r>
        <w:rPr>
          <w:rFonts w:ascii="Times New Roman" w:hAnsi="Times New Roman" w:cs="Times New Roman"/>
          <w:sz w:val="20"/>
          <w:szCs w:val="20"/>
        </w:rPr>
        <w:t xml:space="preserve"> Jautājums par nepieciešamo finansējumu turpmākiem gadiem tiks skatīts likumprojekta “Par valsts budžetu 2026. gadam un budžeta ietvarus 2026., 2027. un 2028. gadam” sagatavošanas procesā.</w:t>
      </w:r>
    </w:p>
  </w:footnote>
  <w:footnote w:id="49">
    <w:p w14:paraId="64719CA3">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Daugavpils valstspilsētas pašvaldība 2024.gada sākumā sāka īstenot nacionālas nozīmes industriālā parka izveides projektu “Austrumlatvijas viedo tehnoloģiju un pētniecības centra (ALTOP) Industriālā parka izveide” Daugavpils lidostā, kā ietvaros plānots uzbūvēt ražošanas ēku, tās darbībai nepieciešamo publisko infrastruktūru un satiksmes infrastruktūru. Projekta īstenošanai ir piesaistīti 17,13 miljoni eiro no VARAM pārziņā esošā Atveseļošanas un noturības mehānisma plāna finansējuma. </w:t>
      </w:r>
    </w:p>
    <w:p w14:paraId="0BEBB3B3">
      <w:pPr>
        <w:pStyle w:val="22"/>
        <w:jc w:val="both"/>
        <w:rPr>
          <w:lang w:val="lv-LV"/>
        </w:rPr>
      </w:pPr>
      <w:r>
        <w:rPr>
          <w:rFonts w:ascii="Times New Roman" w:hAnsi="Times New Roman"/>
          <w:lang w:val="lv-LV"/>
        </w:rPr>
        <w:t>Uzņēmējdarbības veicināšanas jomā nozīmīgs atbalsts ir sniegts Augšdaugavas novada pašvaldībai, 2023.gada 29.novembrī ar likumu “Par valsts nekustamā īpašuma nodošanu Augšdaugavas novada pašvaldībai industriālā parka izveidei”, piešķirot pašvaldībai 256,65 hektārus valsts zemes industriālā parka izveidei</w:t>
      </w:r>
      <w:r>
        <w:t>.</w:t>
      </w:r>
    </w:p>
  </w:footnote>
  <w:footnote w:id="50">
    <w:p w14:paraId="450F82BC">
      <w:pPr>
        <w:pStyle w:val="22"/>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Finansējums ir piešķirts jau izsludinātajām atlases kārtām, t.sk. finansējuma daļa 2025.gadam</w:t>
      </w:r>
      <w:r>
        <w:rPr>
          <w:rFonts w:ascii="Times New Roman" w:hAnsi="Times New Roman"/>
        </w:rPr>
        <w:t>.</w:t>
      </w:r>
    </w:p>
  </w:footnote>
  <w:footnote w:id="51">
    <w:p w14:paraId="413C0BF2">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Kopā pieejami 16 500 000 EUR, tai skaitā Latgales plānošanas reģionā – 3 300 000 </w:t>
      </w:r>
      <w:r>
        <w:rPr>
          <w:rFonts w:ascii="Times New Roman" w:hAnsi="Times New Roman"/>
          <w:i/>
          <w:iCs/>
          <w:lang w:val="lv-LV"/>
        </w:rPr>
        <w:t>euro</w:t>
      </w:r>
      <w:r>
        <w:rPr>
          <w:rFonts w:ascii="Times New Roman" w:hAnsi="Times New Roman"/>
          <w:lang w:val="lv-LV"/>
        </w:rPr>
        <w:t xml:space="preserve">, Vidzemes plānošanas reģionā – 3 300 000 </w:t>
      </w:r>
      <w:r>
        <w:rPr>
          <w:rFonts w:ascii="Times New Roman" w:hAnsi="Times New Roman"/>
          <w:i/>
          <w:iCs/>
          <w:lang w:val="lv-LV"/>
        </w:rPr>
        <w:t>euro</w:t>
      </w:r>
      <w:r>
        <w:rPr>
          <w:rFonts w:ascii="Times New Roman" w:hAnsi="Times New Roman"/>
          <w:lang w:val="lv-LV"/>
        </w:rPr>
        <w:t xml:space="preserve">, Rīgas plānošanas reģionā – 3 300 000 </w:t>
      </w:r>
      <w:r>
        <w:rPr>
          <w:rFonts w:ascii="Times New Roman" w:hAnsi="Times New Roman"/>
          <w:i/>
          <w:iCs/>
          <w:lang w:val="lv-LV"/>
        </w:rPr>
        <w:t>euro</w:t>
      </w:r>
      <w:r>
        <w:rPr>
          <w:rFonts w:ascii="Times New Roman" w:hAnsi="Times New Roman"/>
          <w:lang w:val="lv-LV"/>
        </w:rPr>
        <w:t xml:space="preserve">, Zemgales plānošanas reģionā – 3 300 000 </w:t>
      </w:r>
      <w:r>
        <w:rPr>
          <w:rFonts w:ascii="Times New Roman" w:hAnsi="Times New Roman"/>
          <w:i/>
          <w:iCs/>
          <w:lang w:val="lv-LV"/>
        </w:rPr>
        <w:t>euro</w:t>
      </w:r>
      <w:r>
        <w:rPr>
          <w:rFonts w:ascii="Times New Roman" w:hAnsi="Times New Roman"/>
          <w:lang w:val="lv-LV"/>
        </w:rPr>
        <w:t xml:space="preserve">, Kurzemes plānošanas reģionā – 3 300 000 </w:t>
      </w:r>
      <w:r>
        <w:rPr>
          <w:rFonts w:ascii="Times New Roman" w:hAnsi="Times New Roman"/>
          <w:i/>
          <w:iCs/>
          <w:lang w:val="lv-LV"/>
        </w:rPr>
        <w:t>euro</w:t>
      </w:r>
      <w:r>
        <w:rPr>
          <w:rFonts w:ascii="Times New Roman" w:hAnsi="Times New Roman"/>
          <w:lang w:val="lv-LV"/>
        </w:rPr>
        <w:t>.</w:t>
      </w:r>
    </w:p>
  </w:footnote>
  <w:footnote w:id="52">
    <w:p w14:paraId="750AB267">
      <w:pPr>
        <w:pStyle w:val="22"/>
        <w:jc w:val="both"/>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Pasākuma ietvaros plānotais kopējais attiecināmais finansējums ir 8 700 000 </w:t>
      </w:r>
      <w:r>
        <w:rPr>
          <w:rFonts w:ascii="Times New Roman" w:hAnsi="Times New Roman"/>
          <w:i/>
          <w:iCs/>
          <w:lang w:val="lv-LV"/>
        </w:rPr>
        <w:t>euro</w:t>
      </w:r>
      <w:r>
        <w:rPr>
          <w:rFonts w:ascii="Times New Roman" w:hAnsi="Times New Roman"/>
          <w:lang w:val="lv-LV"/>
        </w:rPr>
        <w:t xml:space="preserve"> (tai skaitā elastības finansējuma apjoms 1 372 211 </w:t>
      </w:r>
      <w:r>
        <w:rPr>
          <w:rFonts w:ascii="Times New Roman" w:hAnsi="Times New Roman"/>
          <w:i/>
          <w:iCs/>
          <w:lang w:val="lv-LV"/>
        </w:rPr>
        <w:t>euro</w:t>
      </w:r>
      <w:r>
        <w:rPr>
          <w:rFonts w:ascii="Times New Roman" w:hAnsi="Times New Roman"/>
          <w:lang w:val="lv-LV"/>
        </w:rPr>
        <w:t xml:space="preserve">), tai skaitā Eiropas Reģionālās attīstības fonda finansējums 7 395 000 </w:t>
      </w:r>
      <w:r>
        <w:rPr>
          <w:rFonts w:ascii="Times New Roman" w:hAnsi="Times New Roman"/>
          <w:i/>
          <w:iCs/>
          <w:lang w:val="lv-LV"/>
        </w:rPr>
        <w:t>euro</w:t>
      </w:r>
      <w:r>
        <w:rPr>
          <w:rFonts w:ascii="Times New Roman" w:hAnsi="Times New Roman"/>
          <w:lang w:val="lv-LV"/>
        </w:rPr>
        <w:t xml:space="preserve"> (tai skaitā elastības finansējuma apjoms 1 166 379 </w:t>
      </w:r>
      <w:r>
        <w:rPr>
          <w:rFonts w:ascii="Times New Roman" w:hAnsi="Times New Roman"/>
          <w:i/>
          <w:iCs/>
          <w:lang w:val="lv-LV"/>
        </w:rPr>
        <w:t>euro</w:t>
      </w:r>
      <w:r>
        <w:rPr>
          <w:rFonts w:ascii="Times New Roman" w:hAnsi="Times New Roman"/>
          <w:lang w:val="lv-LV"/>
        </w:rPr>
        <w:t xml:space="preserve">) un privātais finansējums – ne mazāks par 1 305 000 </w:t>
      </w:r>
      <w:r>
        <w:rPr>
          <w:rFonts w:ascii="Times New Roman" w:hAnsi="Times New Roman"/>
          <w:i/>
          <w:iCs/>
          <w:lang w:val="lv-LV"/>
        </w:rPr>
        <w:t>euro</w:t>
      </w:r>
      <w:r>
        <w:rPr>
          <w:rFonts w:ascii="Times New Roman" w:hAnsi="Times New Roman"/>
          <w:lang w:val="lv-LV"/>
        </w:rPr>
        <w:t xml:space="preserve"> (tai skaitā elastības finansējuma apjoms 205 832 </w:t>
      </w:r>
      <w:r>
        <w:rPr>
          <w:rFonts w:ascii="Times New Roman" w:hAnsi="Times New Roman"/>
          <w:i/>
          <w:iCs/>
          <w:lang w:val="lv-LV"/>
        </w:rPr>
        <w:t>euro</w:t>
      </w:r>
      <w:r>
        <w:rPr>
          <w:rFonts w:ascii="Times New Roman" w:hAnsi="Times New Roman"/>
          <w:lang w:val="lv-LV"/>
        </w:rPr>
        <w:t xml:space="preserve">). Katram plānošanas reģionam atbilstošajam projektam (Latgales, Vidzemes, Rīgas, Zemgales un Kurzemes) ir pieejams kopējais finansējums ne mazāks kā 1 465 557,8 </w:t>
      </w:r>
      <w:r>
        <w:rPr>
          <w:rFonts w:ascii="Times New Roman" w:hAnsi="Times New Roman"/>
          <w:i/>
          <w:iCs/>
          <w:lang w:val="lv-LV"/>
        </w:rPr>
        <w:t>euro</w:t>
      </w:r>
      <w:r>
        <w:rPr>
          <w:rFonts w:ascii="Times New Roman" w:hAnsi="Times New Roman"/>
          <w:lang w:val="lv-LV"/>
        </w:rPr>
        <w:t xml:space="preserve">, tai skaitā Eiropas Reģionālās attīstības fonda finansējums – 1 245 724,2 </w:t>
      </w:r>
      <w:r>
        <w:rPr>
          <w:rFonts w:ascii="Times New Roman" w:hAnsi="Times New Roman"/>
          <w:i/>
          <w:iCs/>
          <w:lang w:val="lv-LV"/>
        </w:rPr>
        <w:t>euro</w:t>
      </w:r>
      <w:r>
        <w:rPr>
          <w:rFonts w:ascii="Times New Roman" w:hAnsi="Times New Roman"/>
          <w:lang w:val="lv-LV"/>
        </w:rPr>
        <w:t xml:space="preserve"> un privātais līdzfinansējums – ne mazāks kā 219 833,6 </w:t>
      </w:r>
      <w:r>
        <w:rPr>
          <w:rFonts w:ascii="Times New Roman" w:hAnsi="Times New Roman"/>
          <w:i/>
          <w:iCs/>
          <w:lang w:val="lv-LV"/>
        </w:rPr>
        <w:t>euro</w:t>
      </w:r>
      <w:r>
        <w:rPr>
          <w:rFonts w:ascii="Times New Roman" w:hAnsi="Times New Roman"/>
          <w:lang w:val="lv-LV"/>
        </w:rPr>
        <w:t>. Pēc 2026. gada 1. janvāra atbilstoši Eiropas Komisijas lēmumam par vidusposma pārskatu atbildīgā iestāde var ierosināt sadarbības iestādei palielināt pasākumam pieejamo Eiropas Reģionālās attīstības fonda finansējumu līdz minētajam plānotajam kopējam finansējuma apmēram. Ja pasākumam pieejamais Eiropas Reģionālās attīstības fonda finansējums tiek palielināts, sadarbības iestāde izsludina projektu atlases otro kārtu par pieejamo finansējumu, tostarp (ja attiecināms) par neizmantoto pirmās atlases kārtas finansējumu. Projektu atlases otrajā kārtā apstiprina vienu projektu par visu Latvijas teritoriju.</w:t>
      </w:r>
    </w:p>
  </w:footnote>
  <w:footnote w:id="53">
    <w:p w14:paraId="4BD60BE5">
      <w:pPr>
        <w:pStyle w:val="22"/>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Plāna izstrādes laikā konkrēts lēmums par finansējuma pārdali (t.sk. finansējuma avotu un precīzu finansējuma apmēru) vēl nav pieņemts. Par finansējuma pārdali konkrētajam mērķim plānots diskutēt un lemt ES fondu vidusposma izvērtējuma procesa gaitā (gala lēmuma termiņš - 2025.g I cet., kad plānots izstrādāt un iesniegt Eiropas Komisijā Eiropas Savienības kohēzijas politikas programmas 2021.-2027.gadam grozījumus).</w:t>
      </w:r>
    </w:p>
  </w:footnote>
  <w:footnote w:id="54">
    <w:p w14:paraId="4FC299AB">
      <w:pPr>
        <w:pStyle w:val="22"/>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Saskaņā ar KEM sniegto informāciju, ir pieteikta interese par šo pasākumu no privātā sektora pārstāvju puses.</w:t>
      </w:r>
    </w:p>
  </w:footnote>
  <w:footnote w:id="55">
    <w:p w14:paraId="73702F3F">
      <w:pPr>
        <w:pStyle w:val="22"/>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Prasmju pakts ir viens no Eiropas prasmju programmas pamatpasākumiem. Tā mērķis ir atbalstīt valsts un privātās organizācijas ar prasmju uzlabošanu un pārkvalifikāciju. Pakta dalībniekiem ir pieejamas zināšanas par prasmju pilnveides un pārkvalificēšanas vajadzībām, padomi par atbilstošiem finansēšanas instrumentiem, lai uzlabotu pieaugušo prasmes savos reģionos un valstīs, kā arī partnerības iespējas tās augošajā sabiedrībā. Izmantojot šo darba plūsmu, var veikt mērķtiecīgus prasmju pakta lokalizācijas centienus, t.i., aktīvi strādāt, lai izveidotu vietējos tīklus un atvieglotu piekļuvi resursiem. Šobrīd vietnē ir redzamas 126 organizācijas/partnerības Lietuvā, 122 Igaunijā un 128 Latvijā.</w:t>
      </w:r>
    </w:p>
  </w:footnote>
  <w:footnote w:id="56">
    <w:p w14:paraId="50F820B4">
      <w:pPr>
        <w:pStyle w:val="22"/>
        <w:rPr>
          <w:rFonts w:ascii="Times New Roman" w:hAnsi="Times New Roman"/>
          <w:lang w:val="lv-LV"/>
        </w:rPr>
      </w:pPr>
      <w:r>
        <w:rPr>
          <w:rStyle w:val="20"/>
          <w:rFonts w:ascii="Times New Roman" w:hAnsi="Times New Roman"/>
        </w:rPr>
        <w:footnoteRef/>
      </w:r>
      <w:r>
        <w:rPr>
          <w:rFonts w:ascii="Times New Roman" w:hAnsi="Times New Roman"/>
        </w:rPr>
        <w:t xml:space="preserve"> </w:t>
      </w:r>
      <w:r>
        <w:rPr>
          <w:rFonts w:ascii="Times New Roman" w:hAnsi="Times New Roman"/>
          <w:lang w:val="lv-LV"/>
        </w:rPr>
        <w:t>Precīzi plāna izstrādes laikā nav identificējams.</w:t>
      </w:r>
    </w:p>
  </w:footnote>
  <w:footnote w:id="57">
    <w:p w14:paraId="7BD25335">
      <w:pPr>
        <w:pStyle w:val="22"/>
        <w:rPr>
          <w:rFonts w:ascii="Times New Roman" w:hAnsi="Times New Roman"/>
          <w:lang w:val="lv-LV"/>
        </w:rPr>
      </w:pPr>
      <w:r>
        <w:rPr>
          <w:rStyle w:val="20"/>
          <w:rFonts w:ascii="Times New Roman" w:hAnsi="Times New Roman"/>
          <w:lang w:val="lv-LV"/>
        </w:rPr>
        <w:footnoteRef/>
      </w:r>
      <w:r>
        <w:rPr>
          <w:rFonts w:ascii="Times New Roman" w:hAnsi="Times New Roman"/>
          <w:lang w:val="lv-LV"/>
        </w:rPr>
        <w:t xml:space="preserve"> Līdz 2024.gada 31.oktobrim notiek saskaņošana tiesību aktu projektam "Par valsts līdzdalību SIA "Daugavpils reģionālā slimnīca"".</w:t>
      </w:r>
    </w:p>
  </w:footnote>
  <w:footnote w:id="58">
    <w:p w14:paraId="54D2FC89">
      <w:pPr>
        <w:spacing w:after="0" w:line="240" w:lineRule="auto"/>
        <w:jc w:val="both"/>
        <w:rPr>
          <w:rFonts w:ascii="Times New Roman" w:hAnsi="Times New Roman" w:cs="Times New Roman"/>
          <w:i/>
          <w:iCs/>
          <w:color w:val="414142"/>
          <w:sz w:val="20"/>
          <w:szCs w:val="20"/>
          <w:shd w:val="clear" w:color="auto" w:fill="FFFFFF"/>
          <w:lang w:eastAsia="lv-LV"/>
        </w:rPr>
      </w:pPr>
      <w:r>
        <w:rPr>
          <w:rStyle w:val="20"/>
          <w:rFonts w:ascii="Times New Roman" w:hAnsi="Times New Roman" w:cs="Times New Roman"/>
          <w:sz w:val="20"/>
          <w:szCs w:val="20"/>
        </w:rPr>
        <w:footnoteRef/>
      </w:r>
      <w:r>
        <w:rPr>
          <w:rFonts w:ascii="Times New Roman" w:hAnsi="Times New Roman" w:cs="Times New Roman"/>
          <w:sz w:val="20"/>
          <w:szCs w:val="20"/>
        </w:rPr>
        <w:t xml:space="preserve"> ZM rosina p</w:t>
      </w:r>
      <w:r>
        <w:rPr>
          <w:rFonts w:ascii="Times New Roman" w:hAnsi="Times New Roman" w:cs="Times New Roman"/>
          <w:sz w:val="20"/>
          <w:szCs w:val="20"/>
          <w:lang w:eastAsia="lv-LV"/>
        </w:rPr>
        <w:t>aredzēt Profesionālās izglītības likumā izņēmumu gadījumus attiecībā uz likuma 16.</w:t>
      </w:r>
      <w:r>
        <w:rPr>
          <w:rFonts w:ascii="Times New Roman" w:hAnsi="Times New Roman" w:cs="Times New Roman"/>
          <w:sz w:val="20"/>
          <w:szCs w:val="20"/>
          <w:vertAlign w:val="superscript"/>
          <w:lang w:eastAsia="lv-LV"/>
        </w:rPr>
        <w:t>1</w:t>
      </w:r>
      <w:r>
        <w:rPr>
          <w:rFonts w:ascii="Times New Roman" w:hAnsi="Times New Roman" w:cs="Times New Roman"/>
          <w:sz w:val="20"/>
          <w:szCs w:val="20"/>
          <w:lang w:eastAsia="lv-LV"/>
        </w:rPr>
        <w:t xml:space="preserve"> panta. Profesionālās izglītības iestāžu statuss un nosaukums (5) 4) apakšpunkta piemērošanu, ar mērķi neierobežot dažāda līmeņa un statusa izglītības iestāžu un programmu pieejamību Austrumu pierobežā. </w:t>
      </w:r>
      <w:r>
        <w:rPr>
          <w:rFonts w:ascii="Times New Roman" w:hAnsi="Times New Roman" w:cs="Times New Roman"/>
          <w:i/>
          <w:sz w:val="20"/>
          <w:szCs w:val="20"/>
          <w:lang w:eastAsia="lv-LV"/>
        </w:rPr>
        <w:t xml:space="preserve">Likuma konkrētais pants paredz izglītības iestādes statusa noteikšanu. </w:t>
      </w:r>
      <w:r>
        <w:rPr>
          <w:rFonts w:ascii="Times New Roman" w:hAnsi="Times New Roman" w:cs="Times New Roman"/>
          <w:sz w:val="20"/>
          <w:szCs w:val="20"/>
          <w:lang w:eastAsia="lv-LV"/>
        </w:rPr>
        <w:t>Ņemot vērā, ka Malnavas koledža atrodas pašā Austrumu pierobežā, ir izaicinoši piesaistīt izglītojamos un īstenot plašu dažāda līmeņa izglītības programmu loku, turklāt, nodrošinot vismaz 50 % pirmā līmeņa augstākās izglītības programmu īpatsvaru. ZM uzskata, ka šādam ierobežojumam šobrīd nevajadzētu attiekties uz reģiona izglītības iestādēm, īpaši, ja šādā statusā ir ierobežots skaits izglītības iestāžu.</w:t>
      </w:r>
      <w:r>
        <w:rPr>
          <w:rFonts w:ascii="Times New Roman" w:hAnsi="Times New Roman" w:cs="Times New Roman"/>
          <w:i/>
          <w:sz w:val="20"/>
          <w:szCs w:val="20"/>
          <w:shd w:val="clear" w:color="auto" w:fill="FFFFFF"/>
          <w:lang w:eastAsia="lv-LV"/>
        </w:rPr>
        <w:t xml:space="preserve"> </w:t>
      </w:r>
    </w:p>
  </w:footnote>
  <w:footnote w:id="59">
    <w:p w14:paraId="3F211729">
      <w:pPr>
        <w:pStyle w:val="22"/>
        <w:rPr>
          <w:lang w:val="lv-LV"/>
        </w:rPr>
      </w:pPr>
      <w:r>
        <w:rPr>
          <w:rStyle w:val="20"/>
        </w:rPr>
        <w:footnoteRef/>
      </w:r>
      <w:r>
        <w:rPr>
          <w:lang w:val="lv-LV"/>
        </w:rPr>
        <w:t xml:space="preserve"> </w:t>
      </w:r>
      <w:r>
        <w:rPr>
          <w:rFonts w:ascii="Times New Roman" w:hAnsi="Times New Roman"/>
          <w:lang w:val="lv-LV"/>
        </w:rPr>
        <w:t>Saskaņā ar AiM sniegto informāciju precīzu finansējuma apjomu šim pasākumam norādīt plāna izstrādes laikā nav iespējams.</w:t>
      </w:r>
    </w:p>
  </w:footnote>
  <w:footnote w:id="60">
    <w:p w14:paraId="064938C3">
      <w:pPr>
        <w:pStyle w:val="22"/>
        <w:rPr>
          <w:lang w:val="lv-LV"/>
        </w:rPr>
      </w:pPr>
      <w:r>
        <w:rPr>
          <w:rStyle w:val="20"/>
        </w:rPr>
        <w:footnoteRef/>
      </w:r>
      <w:r>
        <w:t xml:space="preserve"> </w:t>
      </w:r>
      <w:r>
        <w:rPr>
          <w:lang w:val="lv-LV"/>
        </w:rPr>
        <w:t>Tiks precizēts un pēc tam pieskaitīts plāna kopējam finansējumam.</w:t>
      </w:r>
    </w:p>
  </w:footnote>
  <w:footnote w:id="61">
    <w:p w14:paraId="2A8BD65E">
      <w:pPr>
        <w:spacing w:after="0" w:line="240" w:lineRule="auto"/>
        <w:rPr>
          <w:rFonts w:ascii="Times New Roman" w:hAnsi="Times New Roman" w:eastAsia="Times New Roman" w:cs="Times New Roman"/>
          <w:sz w:val="20"/>
          <w:szCs w:val="20"/>
        </w:rPr>
      </w:pPr>
      <w:r>
        <w:rPr>
          <w:rStyle w:val="20"/>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Times New Roman" w:cs="Times New Roman"/>
          <w:sz w:val="20"/>
          <w:szCs w:val="20"/>
        </w:rPr>
        <w:t>Portatīvās datortehnikas vienību skaits tiek noteikts proporcionāli izglītojamo no sociāli neaizsargātām grupām skaitam tās pārziņā esošajās izglītības iestādēs. Attiecīgi A pierobežas pašvaldībām nav noteiktas priekšrocības attiecībā pret citām pašvaldībām. Tāda pati situācija ir ar projekta otro komponenti - interneta datu pārraides jaudas priekšizpēti, kas tiek veikta skolās visā Latvijā.</w:t>
      </w:r>
    </w:p>
  </w:footnote>
  <w:footnote w:id="62">
    <w:p w14:paraId="3F42E2B0">
      <w:pPr>
        <w:pStyle w:val="22"/>
        <w:jc w:val="both"/>
        <w:rPr>
          <w:rFonts w:ascii="Times New Roman" w:hAnsi="Times New Roman"/>
          <w:lang w:val="lv-LV"/>
        </w:rPr>
      </w:pPr>
      <w:r>
        <w:rPr>
          <w:vertAlign w:val="superscript"/>
        </w:rPr>
        <w:footnoteRef/>
      </w:r>
      <w:r>
        <w:rPr>
          <w:rFonts w:ascii="Times New Roman" w:hAnsi="Times New Roman"/>
          <w:lang w:val="lv-LV"/>
        </w:rPr>
        <w:t xml:space="preserve"> Saskaņā ar IZM sniegto informāciju piedalīties 3.1.1.5.i investīcijas projektu iesniedzēju priekšatlasē tika aicinātās novadu pašvaldības neatkarīgi no to atrašanās vietas. Divu šādu priekšatlašu kārtu ietvaros dalību nepieteica neviena no Austrumu pierobežā esošajām novadu pašvaldībām. Vienlaikus plānota trešās projektu iesniedzēju priekšatlases kārtas īstenošana, kuras ietvaros atbalsts var tikt paredzēts ne vairāk kā 2 ārpus novada pašvaldības administratīvā centra reorganizētām vidusskolām. Starp plānotās priekšatlases dalībniekiem var piedalīties arī novadu pašvaldības, kas veido Austrumu pierobežu.</w:t>
      </w:r>
    </w:p>
  </w:footnote>
  <w:footnote w:id="63">
    <w:p w14:paraId="2769EBE7">
      <w:pPr>
        <w:pStyle w:val="22"/>
        <w:jc w:val="both"/>
        <w:rPr>
          <w:rFonts w:ascii="Times New Roman" w:hAnsi="Times New Roman"/>
          <w:lang w:val="lv-LV"/>
        </w:rPr>
      </w:pPr>
      <w:r>
        <w:rPr>
          <w:rFonts w:ascii="Times New Roman" w:hAnsi="Times New Roman"/>
          <w:vertAlign w:val="superscript"/>
          <w:lang w:val="lv-LV"/>
        </w:rPr>
        <w:footnoteRef/>
      </w:r>
      <w:r>
        <w:rPr>
          <w:rFonts w:ascii="Times New Roman" w:hAnsi="Times New Roman"/>
          <w:lang w:val="lv-LV"/>
        </w:rPr>
        <w:t xml:space="preserve"> Jaunatnes starptautisko programmu aģentūra Jaunatnes politikas valsts programmas 2024.-2026. gadam ietvaros 24.01.2024. izsludinājusi atklāto projektu konkursu “Atbalsts jaunatnes politikas īstenošanai vietējā līmenī”. Viena no mērķa grupām ir jaunieši, kuriem ir ģeogrāfiskie šķēršļi (jaunieši no ļoti attāliem lauku reģioniem, lauku jaunieši, jaunieši, kuriem ir ierobežotas pakalpojumu iespējas, u.c.).</w:t>
      </w:r>
    </w:p>
  </w:footnote>
  <w:footnote w:id="64">
    <w:p w14:paraId="0579FD33">
      <w:pPr>
        <w:pStyle w:val="22"/>
        <w:rPr>
          <w:rFonts w:ascii="Times New Roman" w:hAnsi="Times New Roman"/>
          <w:lang w:val="lv-LV"/>
        </w:rPr>
      </w:pPr>
      <w:r>
        <w:rPr>
          <w:rStyle w:val="20"/>
          <w:rFonts w:ascii="Times New Roman" w:hAnsi="Times New Roman"/>
        </w:rPr>
        <w:footnoteRef/>
      </w:r>
      <w:r>
        <w:rPr>
          <w:rFonts w:ascii="Times New Roman" w:hAnsi="Times New Roman"/>
        </w:rPr>
        <w:t xml:space="preserve"> </w:t>
      </w:r>
      <w:r>
        <w:rPr>
          <w:rFonts w:ascii="Times New Roman" w:hAnsi="Times New Roman"/>
          <w:lang w:val="lv-LV"/>
        </w:rPr>
        <w:t>2024.g. – 13 projekti.</w:t>
      </w:r>
    </w:p>
  </w:footnote>
  <w:footnote w:id="65">
    <w:p w14:paraId="7AC99123">
      <w:pPr>
        <w:pStyle w:val="22"/>
        <w:rPr>
          <w:rFonts w:ascii="Times New Roman" w:hAnsi="Times New Roman"/>
          <w:lang w:val="lv-LV"/>
        </w:rPr>
      </w:pPr>
      <w:r>
        <w:rPr>
          <w:rStyle w:val="20"/>
          <w:rFonts w:ascii="Times New Roman" w:hAnsi="Times New Roman"/>
        </w:rPr>
        <w:footnoteRef/>
      </w:r>
      <w:r>
        <w:rPr>
          <w:rFonts w:ascii="Times New Roman" w:hAnsi="Times New Roman"/>
        </w:rPr>
        <w:t xml:space="preserve"> </w:t>
      </w:r>
      <w:r>
        <w:rPr>
          <w:rFonts w:ascii="Times New Roman" w:hAnsi="Times New Roman"/>
          <w:lang w:val="lv-LV"/>
        </w:rPr>
        <w:t>2024.gadā – 3 projekti.</w:t>
      </w:r>
    </w:p>
  </w:footnote>
  <w:footnote w:id="66">
    <w:p w14:paraId="1DA3A14D">
      <w:pPr>
        <w:pStyle w:val="22"/>
        <w:rPr>
          <w:rFonts w:ascii="Times New Roman" w:hAnsi="Times New Roman"/>
          <w:lang w:val="lv-LV"/>
        </w:rPr>
      </w:pPr>
      <w:r>
        <w:rPr>
          <w:rStyle w:val="20"/>
          <w:rFonts w:ascii="Times New Roman" w:hAnsi="Times New Roman"/>
        </w:rPr>
        <w:footnoteRef/>
      </w:r>
      <w:r>
        <w:rPr>
          <w:rFonts w:ascii="Times New Roman" w:hAnsi="Times New Roman"/>
        </w:rPr>
        <w:t xml:space="preserve"> </w:t>
      </w:r>
      <w:r>
        <w:rPr>
          <w:rFonts w:ascii="Times New Roman" w:hAnsi="Times New Roman"/>
          <w:lang w:val="lv-LV"/>
        </w:rPr>
        <w:t xml:space="preserve">2024.gadā – 102 000 </w:t>
      </w:r>
      <w:r>
        <w:rPr>
          <w:rFonts w:ascii="Times New Roman" w:hAnsi="Times New Roman"/>
          <w:i/>
          <w:lang w:val="lv-LV"/>
        </w:rPr>
        <w:t>euro</w:t>
      </w:r>
      <w:r>
        <w:rPr>
          <w:rFonts w:ascii="Times New Roman" w:hAnsi="Times New Roman"/>
          <w:lang w:val="lv-LV"/>
        </w:rPr>
        <w:t>.</w:t>
      </w:r>
    </w:p>
  </w:footnote>
  <w:footnote w:id="67">
    <w:p w14:paraId="6B182C0B">
      <w:pPr>
        <w:pStyle w:val="22"/>
        <w:rPr>
          <w:lang w:val="lv-LV"/>
        </w:rPr>
      </w:pPr>
      <w:r>
        <w:rPr>
          <w:rStyle w:val="20"/>
          <w:rFonts w:ascii="Times New Roman" w:hAnsi="Times New Roman"/>
        </w:rPr>
        <w:footnoteRef/>
      </w:r>
      <w:r>
        <w:rPr>
          <w:rFonts w:ascii="Times New Roman" w:hAnsi="Times New Roman"/>
        </w:rPr>
        <w:t xml:space="preserve"> </w:t>
      </w:r>
      <w:r>
        <w:rPr>
          <w:rFonts w:ascii="Times New Roman" w:hAnsi="Times New Roman"/>
          <w:lang w:val="lv-LV"/>
        </w:rPr>
        <w:t xml:space="preserve">2024.gadā - </w:t>
      </w:r>
      <w:r>
        <w:rPr>
          <w:rFonts w:ascii="Times New Roman" w:hAnsi="Times New Roman"/>
        </w:rPr>
        <w:t xml:space="preserve">25 304 </w:t>
      </w:r>
      <w:r>
        <w:rPr>
          <w:rFonts w:ascii="Times New Roman" w:hAnsi="Times New Roman"/>
          <w:i/>
        </w:rPr>
        <w:t>euro</w:t>
      </w:r>
      <w:r>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0" w:type="auto"/>
      <w:tblInd w:w="0" w:type="dxa"/>
      <w:tblLayout w:type="fixed"/>
      <w:tblCellMar>
        <w:top w:w="0" w:type="dxa"/>
        <w:left w:w="108" w:type="dxa"/>
        <w:bottom w:w="0" w:type="dxa"/>
        <w:right w:w="108" w:type="dxa"/>
      </w:tblCellMar>
    </w:tblPr>
    <w:tblGrid>
      <w:gridCol w:w="3210"/>
      <w:gridCol w:w="3210"/>
      <w:gridCol w:w="3210"/>
    </w:tblGrid>
    <w:tr w14:paraId="4AB8531C">
      <w:tblPrEx>
        <w:tblCellMar>
          <w:top w:w="0" w:type="dxa"/>
          <w:left w:w="108" w:type="dxa"/>
          <w:bottom w:w="0" w:type="dxa"/>
          <w:right w:w="108" w:type="dxa"/>
        </w:tblCellMar>
      </w:tblPrEx>
      <w:trPr>
        <w:trHeight w:val="300" w:hRule="atLeast"/>
      </w:trPr>
      <w:tc>
        <w:tcPr>
          <w:tcW w:w="3210" w:type="dxa"/>
        </w:tcPr>
        <w:p w14:paraId="39EB3E51">
          <w:pPr>
            <w:pStyle w:val="23"/>
            <w:ind w:left="-115"/>
          </w:pPr>
        </w:p>
      </w:tc>
      <w:tc>
        <w:tcPr>
          <w:tcW w:w="3210" w:type="dxa"/>
        </w:tcPr>
        <w:p w14:paraId="4905ECAB">
          <w:pPr>
            <w:pStyle w:val="23"/>
            <w:jc w:val="center"/>
          </w:pPr>
        </w:p>
      </w:tc>
      <w:tc>
        <w:tcPr>
          <w:tcW w:w="3210" w:type="dxa"/>
        </w:tcPr>
        <w:p w14:paraId="7084E4DA">
          <w:pPr>
            <w:pStyle w:val="23"/>
            <w:ind w:right="-115"/>
            <w:jc w:val="right"/>
          </w:pPr>
        </w:p>
      </w:tc>
    </w:tr>
  </w:tbl>
  <w:p w14:paraId="283699C1">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0" w:type="auto"/>
      <w:tblInd w:w="0" w:type="dxa"/>
      <w:tblLayout w:type="fixed"/>
      <w:tblCellMar>
        <w:top w:w="0" w:type="dxa"/>
        <w:left w:w="108" w:type="dxa"/>
        <w:bottom w:w="0" w:type="dxa"/>
        <w:right w:w="108" w:type="dxa"/>
      </w:tblCellMar>
    </w:tblPr>
    <w:tblGrid>
      <w:gridCol w:w="4855"/>
      <w:gridCol w:w="4855"/>
      <w:gridCol w:w="4855"/>
    </w:tblGrid>
    <w:tr w14:paraId="0B7110C7">
      <w:tblPrEx>
        <w:tblCellMar>
          <w:top w:w="0" w:type="dxa"/>
          <w:left w:w="108" w:type="dxa"/>
          <w:bottom w:w="0" w:type="dxa"/>
          <w:right w:w="108" w:type="dxa"/>
        </w:tblCellMar>
      </w:tblPrEx>
      <w:trPr>
        <w:trHeight w:val="300" w:hRule="atLeast"/>
      </w:trPr>
      <w:tc>
        <w:tcPr>
          <w:tcW w:w="4855" w:type="dxa"/>
        </w:tcPr>
        <w:p w14:paraId="69DA2F5A">
          <w:pPr>
            <w:pStyle w:val="23"/>
            <w:ind w:left="-115"/>
          </w:pPr>
        </w:p>
      </w:tc>
      <w:tc>
        <w:tcPr>
          <w:tcW w:w="4855" w:type="dxa"/>
        </w:tcPr>
        <w:p w14:paraId="6782586C">
          <w:pPr>
            <w:pStyle w:val="23"/>
            <w:jc w:val="center"/>
          </w:pPr>
        </w:p>
      </w:tc>
      <w:tc>
        <w:tcPr>
          <w:tcW w:w="4855" w:type="dxa"/>
        </w:tcPr>
        <w:p w14:paraId="0238F47F">
          <w:pPr>
            <w:pStyle w:val="23"/>
            <w:ind w:right="-115"/>
            <w:jc w:val="right"/>
          </w:pPr>
        </w:p>
      </w:tc>
    </w:tr>
  </w:tbl>
  <w:p w14:paraId="3DADD5EE">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066672"/>
    <w:multiLevelType w:val="multilevel"/>
    <w:tmpl w:val="01066672"/>
    <w:lvl w:ilvl="0" w:tentative="0">
      <w:start w:val="1"/>
      <w:numFmt w:val="decimal"/>
      <w:lvlText w:val="%1."/>
      <w:lvlJc w:val="left"/>
      <w:pPr>
        <w:ind w:left="720" w:hanging="360"/>
      </w:pPr>
      <w:rPr>
        <w:rFonts w:hint="default"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3D3537A"/>
    <w:multiLevelType w:val="multilevel"/>
    <w:tmpl w:val="03D3537A"/>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EDE0AC9"/>
    <w:multiLevelType w:val="multilevel"/>
    <w:tmpl w:val="0EDE0AC9"/>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07B6E98"/>
    <w:multiLevelType w:val="multilevel"/>
    <w:tmpl w:val="107B6E98"/>
    <w:lvl w:ilvl="0" w:tentative="0">
      <w:start w:val="1"/>
      <w:numFmt w:val="decimal"/>
      <w:lvlText w:val="%1."/>
      <w:lvlJc w:val="left"/>
      <w:pPr>
        <w:ind w:left="360" w:hanging="360"/>
      </w:pPr>
    </w:lvl>
    <w:lvl w:ilvl="1" w:tentative="0">
      <w:start w:val="1"/>
      <w:numFmt w:val="decimal"/>
      <w:lvlText w:val="%1.%2."/>
      <w:lvlJc w:val="left"/>
      <w:pPr>
        <w:ind w:left="858" w:hanging="432"/>
      </w:pPr>
      <w:rPr>
        <w:rFonts w:hint="default" w:ascii="Times New Roman" w:hAnsi="Times New Roman" w:cs="Times New Roman"/>
        <w:sz w:val="20"/>
        <w:szCs w:val="20"/>
      </w:r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
    <w:nsid w:val="1319580C"/>
    <w:multiLevelType w:val="multilevel"/>
    <w:tmpl w:val="1319580C"/>
    <w:lvl w:ilvl="0" w:tentative="0">
      <w:start w:val="1"/>
      <w:numFmt w:val="bullet"/>
      <w:lvlText w:val=""/>
      <w:lvlJc w:val="left"/>
      <w:pPr>
        <w:ind w:left="360" w:hanging="360"/>
      </w:pPr>
      <w:rPr>
        <w:rFonts w:hint="default" w:ascii="Wingdings" w:hAnsi="Wingdings"/>
        <w:b/>
        <w:i w:val="0"/>
        <w:color w:val="auto"/>
        <w:w w:val="100"/>
        <w:sz w:val="20"/>
        <w:szCs w:val="2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186D3B10"/>
    <w:multiLevelType w:val="multilevel"/>
    <w:tmpl w:val="186D3B10"/>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F7C01BB"/>
    <w:multiLevelType w:val="multilevel"/>
    <w:tmpl w:val="1F7C01BB"/>
    <w:lvl w:ilvl="0" w:tentative="0">
      <w:start w:val="0"/>
      <w:numFmt w:val="bullet"/>
      <w:lvlText w:val="•"/>
      <w:lvlJc w:val="left"/>
      <w:pPr>
        <w:ind w:left="360" w:hanging="360"/>
      </w:pPr>
      <w:rPr>
        <w:rFonts w:hint="default" w:ascii="Times New Roman" w:hAnsi="Times New Roman" w:eastAsia="Calibri"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20DC4D15"/>
    <w:multiLevelType w:val="multilevel"/>
    <w:tmpl w:val="20DC4D15"/>
    <w:lvl w:ilvl="0" w:tentative="0">
      <w:start w:val="1"/>
      <w:numFmt w:val="decimal"/>
      <w:lvlText w:val="%1."/>
      <w:lvlJc w:val="left"/>
      <w:pPr>
        <w:ind w:left="720" w:hanging="360"/>
      </w:pPr>
    </w:lvl>
    <w:lvl w:ilvl="1" w:tentative="0">
      <w:start w:val="1"/>
      <w:numFmt w:val="decimal"/>
      <w:isLgl/>
      <w:lvlText w:val="%1.%2."/>
      <w:lvlJc w:val="left"/>
      <w:pPr>
        <w:ind w:left="786" w:hanging="360"/>
      </w:pPr>
      <w:rPr>
        <w:rFonts w:hint="default"/>
      </w:rPr>
    </w:lvl>
    <w:lvl w:ilvl="2" w:tentative="0">
      <w:start w:val="1"/>
      <w:numFmt w:val="decimal"/>
      <w:isLgl/>
      <w:lvlText w:val="%1.%2.%3."/>
      <w:lvlJc w:val="left"/>
      <w:pPr>
        <w:ind w:left="1212" w:hanging="720"/>
      </w:pPr>
      <w:rPr>
        <w:rFonts w:hint="default"/>
      </w:rPr>
    </w:lvl>
    <w:lvl w:ilvl="3" w:tentative="0">
      <w:start w:val="1"/>
      <w:numFmt w:val="decimal"/>
      <w:isLgl/>
      <w:lvlText w:val="%1.%2.%3.%4."/>
      <w:lvlJc w:val="left"/>
      <w:pPr>
        <w:ind w:left="1278" w:hanging="720"/>
      </w:pPr>
      <w:rPr>
        <w:rFonts w:hint="default"/>
      </w:rPr>
    </w:lvl>
    <w:lvl w:ilvl="4" w:tentative="0">
      <w:start w:val="1"/>
      <w:numFmt w:val="decimal"/>
      <w:isLgl/>
      <w:lvlText w:val="%1.%2.%3.%4.%5."/>
      <w:lvlJc w:val="left"/>
      <w:pPr>
        <w:ind w:left="1704" w:hanging="1080"/>
      </w:pPr>
      <w:rPr>
        <w:rFonts w:hint="default"/>
      </w:rPr>
    </w:lvl>
    <w:lvl w:ilvl="5" w:tentative="0">
      <w:start w:val="1"/>
      <w:numFmt w:val="decimal"/>
      <w:isLgl/>
      <w:lvlText w:val="%1.%2.%3.%4.%5.%6."/>
      <w:lvlJc w:val="left"/>
      <w:pPr>
        <w:ind w:left="1770" w:hanging="1080"/>
      </w:pPr>
      <w:rPr>
        <w:rFonts w:hint="default"/>
      </w:rPr>
    </w:lvl>
    <w:lvl w:ilvl="6" w:tentative="0">
      <w:start w:val="1"/>
      <w:numFmt w:val="decimal"/>
      <w:isLgl/>
      <w:lvlText w:val="%1.%2.%3.%4.%5.%6.%7."/>
      <w:lvlJc w:val="left"/>
      <w:pPr>
        <w:ind w:left="1836" w:hanging="1080"/>
      </w:pPr>
      <w:rPr>
        <w:rFonts w:hint="default"/>
      </w:rPr>
    </w:lvl>
    <w:lvl w:ilvl="7" w:tentative="0">
      <w:start w:val="1"/>
      <w:numFmt w:val="decimal"/>
      <w:isLgl/>
      <w:lvlText w:val="%1.%2.%3.%4.%5.%6.%7.%8."/>
      <w:lvlJc w:val="left"/>
      <w:pPr>
        <w:ind w:left="2262" w:hanging="1440"/>
      </w:pPr>
      <w:rPr>
        <w:rFonts w:hint="default"/>
      </w:rPr>
    </w:lvl>
    <w:lvl w:ilvl="8" w:tentative="0">
      <w:start w:val="1"/>
      <w:numFmt w:val="decimal"/>
      <w:isLgl/>
      <w:lvlText w:val="%1.%2.%3.%4.%5.%6.%7.%8.%9."/>
      <w:lvlJc w:val="left"/>
      <w:pPr>
        <w:ind w:left="2328" w:hanging="1440"/>
      </w:pPr>
      <w:rPr>
        <w:rFonts w:hint="default"/>
      </w:rPr>
    </w:lvl>
  </w:abstractNum>
  <w:abstractNum w:abstractNumId="8">
    <w:nsid w:val="2C5565CD"/>
    <w:multiLevelType w:val="multilevel"/>
    <w:tmpl w:val="2C5565CD"/>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2FC715B4"/>
    <w:multiLevelType w:val="multilevel"/>
    <w:tmpl w:val="2FC715B4"/>
    <w:lvl w:ilvl="0" w:tentative="0">
      <w:start w:val="1"/>
      <w:numFmt w:val="bullet"/>
      <w:lvlText w:val=""/>
      <w:lvlJc w:val="left"/>
      <w:pPr>
        <w:ind w:left="720" w:hanging="360"/>
      </w:pPr>
      <w:rPr>
        <w:rFonts w:hint="default" w:ascii="Symbol" w:hAnsi="Symbol"/>
      </w:rPr>
    </w:lvl>
    <w:lvl w:ilvl="1" w:tentative="0">
      <w:start w:val="5"/>
      <w:numFmt w:val="bullet"/>
      <w:lvlText w:val="-"/>
      <w:lvlJc w:val="left"/>
      <w:pPr>
        <w:ind w:left="1080" w:hanging="360"/>
      </w:pPr>
      <w:rPr>
        <w:rFonts w:hint="default" w:ascii="Times New Roman" w:hAnsi="Times New Roman"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3BCC2F9F"/>
    <w:multiLevelType w:val="multilevel"/>
    <w:tmpl w:val="3BCC2F9F"/>
    <w:lvl w:ilvl="0" w:tentative="0">
      <w:start w:val="0"/>
      <w:numFmt w:val="bullet"/>
      <w:lvlText w:val="-"/>
      <w:lvlJc w:val="left"/>
      <w:pPr>
        <w:ind w:left="360" w:hanging="360"/>
      </w:pPr>
      <w:rPr>
        <w:rFonts w:hint="default" w:ascii="Times New Roman" w:hAnsi="Times New Roman" w:cs="Times New Roman" w:eastAsiaTheme="minorHAns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
    <w:nsid w:val="3E306E95"/>
    <w:multiLevelType w:val="multilevel"/>
    <w:tmpl w:val="3E306E95"/>
    <w:lvl w:ilvl="0" w:tentative="0">
      <w:start w:val="30"/>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479552EC"/>
    <w:multiLevelType w:val="multilevel"/>
    <w:tmpl w:val="479552EC"/>
    <w:lvl w:ilvl="0" w:tentative="0">
      <w:start w:val="1"/>
      <w:numFmt w:val="bullet"/>
      <w:lvlText w:val="-"/>
      <w:lvlJc w:val="left"/>
      <w:pPr>
        <w:ind w:left="360" w:hanging="360"/>
      </w:pPr>
      <w:rPr>
        <w:rFonts w:hint="default" w:ascii="Aptos" w:hAnsi="Apto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3">
    <w:nsid w:val="51B42A7D"/>
    <w:multiLevelType w:val="multilevel"/>
    <w:tmpl w:val="51B42A7D"/>
    <w:lvl w:ilvl="0" w:tentative="0">
      <w:start w:val="30"/>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4">
    <w:nsid w:val="56B94165"/>
    <w:multiLevelType w:val="multilevel"/>
    <w:tmpl w:val="56B94165"/>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63BC65EA"/>
    <w:multiLevelType w:val="multilevel"/>
    <w:tmpl w:val="63BC65EA"/>
    <w:lvl w:ilvl="0" w:tentative="0">
      <w:start w:val="0"/>
      <w:numFmt w:val="bullet"/>
      <w:lvlText w:val="•"/>
      <w:lvlJc w:val="left"/>
      <w:pPr>
        <w:ind w:left="360" w:hanging="360"/>
      </w:pPr>
      <w:rPr>
        <w:rFonts w:hint="default" w:ascii="Times New Roman" w:hAnsi="Times New Roman" w:eastAsia="Calibri"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
    <w:nsid w:val="652B6C31"/>
    <w:multiLevelType w:val="multilevel"/>
    <w:tmpl w:val="652B6C31"/>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7">
    <w:nsid w:val="65E7245F"/>
    <w:multiLevelType w:val="multilevel"/>
    <w:tmpl w:val="65E7245F"/>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74A655CF"/>
    <w:multiLevelType w:val="multilevel"/>
    <w:tmpl w:val="74A655CF"/>
    <w:lvl w:ilvl="0" w:tentative="0">
      <w:start w:val="0"/>
      <w:numFmt w:val="bullet"/>
      <w:lvlText w:val="–"/>
      <w:lvlJc w:val="left"/>
      <w:pPr>
        <w:ind w:left="360" w:hanging="360"/>
      </w:pPr>
      <w:rPr>
        <w:rFonts w:ascii="Times New Roman" w:hAnsi="Times New Roman" w:eastAsia="Times New Roman" w:cs="Times New Roman"/>
      </w:rPr>
    </w:lvl>
    <w:lvl w:ilvl="1" w:tentative="0">
      <w:start w:val="0"/>
      <w:numFmt w:val="bullet"/>
      <w:lvlText w:val="o"/>
      <w:lvlJc w:val="left"/>
      <w:pPr>
        <w:ind w:left="1080" w:hanging="360"/>
      </w:pPr>
      <w:rPr>
        <w:rFonts w:ascii="Courier New" w:hAnsi="Courier New" w:cs="Courier New"/>
      </w:rPr>
    </w:lvl>
    <w:lvl w:ilvl="2" w:tentative="0">
      <w:start w:val="0"/>
      <w:numFmt w:val="bullet"/>
      <w:lvlText w:val=""/>
      <w:lvlJc w:val="left"/>
      <w:pPr>
        <w:ind w:left="1800" w:hanging="360"/>
      </w:pPr>
      <w:rPr>
        <w:rFonts w:ascii="Wingdings" w:hAnsi="Wingdings"/>
      </w:rPr>
    </w:lvl>
    <w:lvl w:ilvl="3" w:tentative="0">
      <w:start w:val="0"/>
      <w:numFmt w:val="bullet"/>
      <w:lvlText w:val=""/>
      <w:lvlJc w:val="left"/>
      <w:pPr>
        <w:ind w:left="2520" w:hanging="360"/>
      </w:pPr>
      <w:rPr>
        <w:rFonts w:ascii="Symbol" w:hAnsi="Symbol"/>
      </w:rPr>
    </w:lvl>
    <w:lvl w:ilvl="4" w:tentative="0">
      <w:start w:val="0"/>
      <w:numFmt w:val="bullet"/>
      <w:lvlText w:val="o"/>
      <w:lvlJc w:val="left"/>
      <w:pPr>
        <w:ind w:left="3240" w:hanging="360"/>
      </w:pPr>
      <w:rPr>
        <w:rFonts w:ascii="Courier New" w:hAnsi="Courier New" w:cs="Courier New"/>
      </w:rPr>
    </w:lvl>
    <w:lvl w:ilvl="5" w:tentative="0">
      <w:start w:val="0"/>
      <w:numFmt w:val="bullet"/>
      <w:lvlText w:val=""/>
      <w:lvlJc w:val="left"/>
      <w:pPr>
        <w:ind w:left="3960" w:hanging="360"/>
      </w:pPr>
      <w:rPr>
        <w:rFonts w:ascii="Wingdings" w:hAnsi="Wingdings"/>
      </w:rPr>
    </w:lvl>
    <w:lvl w:ilvl="6" w:tentative="0">
      <w:start w:val="0"/>
      <w:numFmt w:val="bullet"/>
      <w:lvlText w:val=""/>
      <w:lvlJc w:val="left"/>
      <w:pPr>
        <w:ind w:left="4680" w:hanging="360"/>
      </w:pPr>
      <w:rPr>
        <w:rFonts w:ascii="Symbol" w:hAnsi="Symbol"/>
      </w:rPr>
    </w:lvl>
    <w:lvl w:ilvl="7" w:tentative="0">
      <w:start w:val="0"/>
      <w:numFmt w:val="bullet"/>
      <w:lvlText w:val="o"/>
      <w:lvlJc w:val="left"/>
      <w:pPr>
        <w:ind w:left="5400" w:hanging="360"/>
      </w:pPr>
      <w:rPr>
        <w:rFonts w:ascii="Courier New" w:hAnsi="Courier New" w:cs="Courier New"/>
      </w:rPr>
    </w:lvl>
    <w:lvl w:ilvl="8" w:tentative="0">
      <w:start w:val="0"/>
      <w:numFmt w:val="bullet"/>
      <w:lvlText w:val=""/>
      <w:lvlJc w:val="left"/>
      <w:pPr>
        <w:ind w:left="6120" w:hanging="360"/>
      </w:pPr>
      <w:rPr>
        <w:rFonts w:ascii="Wingdings" w:hAnsi="Wingdings"/>
      </w:rPr>
    </w:lvl>
  </w:abstractNum>
  <w:abstractNum w:abstractNumId="19">
    <w:nsid w:val="7E62402A"/>
    <w:multiLevelType w:val="multilevel"/>
    <w:tmpl w:val="7E62402A"/>
    <w:lvl w:ilvl="0" w:tentative="0">
      <w:start w:val="0"/>
      <w:numFmt w:val="bullet"/>
      <w:lvlText w:val="•"/>
      <w:lvlJc w:val="left"/>
      <w:pPr>
        <w:ind w:left="360" w:hanging="360"/>
      </w:pPr>
      <w:rPr>
        <w:rFonts w:hint="default" w:ascii="Times New Roman" w:hAnsi="Times New Roman" w:eastAsia="Calibri"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4"/>
  </w:num>
  <w:num w:numId="2">
    <w:abstractNumId w:val="12"/>
  </w:num>
  <w:num w:numId="3">
    <w:abstractNumId w:val="1"/>
  </w:num>
  <w:num w:numId="4">
    <w:abstractNumId w:val="5"/>
  </w:num>
  <w:num w:numId="5">
    <w:abstractNumId w:val="14"/>
  </w:num>
  <w:num w:numId="6">
    <w:abstractNumId w:val="10"/>
  </w:num>
  <w:num w:numId="7">
    <w:abstractNumId w:val="7"/>
  </w:num>
  <w:num w:numId="8">
    <w:abstractNumId w:val="15"/>
  </w:num>
  <w:num w:numId="9">
    <w:abstractNumId w:val="6"/>
  </w:num>
  <w:num w:numId="10">
    <w:abstractNumId w:val="2"/>
  </w:num>
  <w:num w:numId="11">
    <w:abstractNumId w:val="18"/>
  </w:num>
  <w:num w:numId="12">
    <w:abstractNumId w:val="0"/>
  </w:num>
  <w:num w:numId="13">
    <w:abstractNumId w:val="3"/>
  </w:num>
  <w:num w:numId="14">
    <w:abstractNumId w:val="16"/>
  </w:num>
  <w:num w:numId="15">
    <w:abstractNumId w:val="17"/>
  </w:num>
  <w:num w:numId="16">
    <w:abstractNumId w:val="19"/>
  </w:num>
  <w:num w:numId="17">
    <w:abstractNumId w:val="8"/>
  </w:num>
  <w:num w:numId="18">
    <w:abstractNumId w:val="9"/>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136"/>
    <w:footnote w:id="137"/>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922"/>
    <w:rsid w:val="0000019E"/>
    <w:rsid w:val="000001A1"/>
    <w:rsid w:val="000002F0"/>
    <w:rsid w:val="00000651"/>
    <w:rsid w:val="00000899"/>
    <w:rsid w:val="000008AC"/>
    <w:rsid w:val="00000934"/>
    <w:rsid w:val="00000986"/>
    <w:rsid w:val="00000CA3"/>
    <w:rsid w:val="00001061"/>
    <w:rsid w:val="00001214"/>
    <w:rsid w:val="00001715"/>
    <w:rsid w:val="0000189C"/>
    <w:rsid w:val="00001E37"/>
    <w:rsid w:val="00001FE9"/>
    <w:rsid w:val="000025D5"/>
    <w:rsid w:val="00002813"/>
    <w:rsid w:val="000029A5"/>
    <w:rsid w:val="00002B49"/>
    <w:rsid w:val="00002B8D"/>
    <w:rsid w:val="00002BBA"/>
    <w:rsid w:val="00002C41"/>
    <w:rsid w:val="00002EA7"/>
    <w:rsid w:val="000031DD"/>
    <w:rsid w:val="00003219"/>
    <w:rsid w:val="0000334C"/>
    <w:rsid w:val="00003896"/>
    <w:rsid w:val="0000393E"/>
    <w:rsid w:val="00004637"/>
    <w:rsid w:val="0000465F"/>
    <w:rsid w:val="000048B5"/>
    <w:rsid w:val="000049F1"/>
    <w:rsid w:val="00004B11"/>
    <w:rsid w:val="00004C15"/>
    <w:rsid w:val="00004DFF"/>
    <w:rsid w:val="00005490"/>
    <w:rsid w:val="00005532"/>
    <w:rsid w:val="00005818"/>
    <w:rsid w:val="00005D86"/>
    <w:rsid w:val="00005E6D"/>
    <w:rsid w:val="0000604E"/>
    <w:rsid w:val="00006072"/>
    <w:rsid w:val="00006327"/>
    <w:rsid w:val="00006C01"/>
    <w:rsid w:val="00006EB1"/>
    <w:rsid w:val="00007048"/>
    <w:rsid w:val="000074B3"/>
    <w:rsid w:val="00007567"/>
    <w:rsid w:val="00007CCC"/>
    <w:rsid w:val="00007E8C"/>
    <w:rsid w:val="00007F0D"/>
    <w:rsid w:val="0001045F"/>
    <w:rsid w:val="0001069C"/>
    <w:rsid w:val="0001088E"/>
    <w:rsid w:val="00010D6E"/>
    <w:rsid w:val="00011136"/>
    <w:rsid w:val="000113B8"/>
    <w:rsid w:val="000113C1"/>
    <w:rsid w:val="000113FC"/>
    <w:rsid w:val="000114A8"/>
    <w:rsid w:val="000115F1"/>
    <w:rsid w:val="000118E7"/>
    <w:rsid w:val="000119B5"/>
    <w:rsid w:val="00011BA5"/>
    <w:rsid w:val="0001201C"/>
    <w:rsid w:val="00012247"/>
    <w:rsid w:val="0001292C"/>
    <w:rsid w:val="00012B17"/>
    <w:rsid w:val="00012B5C"/>
    <w:rsid w:val="000131C7"/>
    <w:rsid w:val="000133F0"/>
    <w:rsid w:val="0001356E"/>
    <w:rsid w:val="000138A9"/>
    <w:rsid w:val="00013A01"/>
    <w:rsid w:val="00013EBF"/>
    <w:rsid w:val="00013FAE"/>
    <w:rsid w:val="000142FE"/>
    <w:rsid w:val="00014A6F"/>
    <w:rsid w:val="00014B42"/>
    <w:rsid w:val="00014FD6"/>
    <w:rsid w:val="00015052"/>
    <w:rsid w:val="000151FE"/>
    <w:rsid w:val="000152E1"/>
    <w:rsid w:val="00015484"/>
    <w:rsid w:val="0001589A"/>
    <w:rsid w:val="000159F1"/>
    <w:rsid w:val="00015C7C"/>
    <w:rsid w:val="00016FD8"/>
    <w:rsid w:val="000171D9"/>
    <w:rsid w:val="00017262"/>
    <w:rsid w:val="000173EA"/>
    <w:rsid w:val="000177C8"/>
    <w:rsid w:val="00020011"/>
    <w:rsid w:val="0002007D"/>
    <w:rsid w:val="00020353"/>
    <w:rsid w:val="00020418"/>
    <w:rsid w:val="000204A3"/>
    <w:rsid w:val="00020715"/>
    <w:rsid w:val="000207F8"/>
    <w:rsid w:val="000208DE"/>
    <w:rsid w:val="000209BE"/>
    <w:rsid w:val="00020F2F"/>
    <w:rsid w:val="00021750"/>
    <w:rsid w:val="00021838"/>
    <w:rsid w:val="0002197B"/>
    <w:rsid w:val="00022491"/>
    <w:rsid w:val="000224F0"/>
    <w:rsid w:val="000227BA"/>
    <w:rsid w:val="00022B30"/>
    <w:rsid w:val="00022C72"/>
    <w:rsid w:val="000230CA"/>
    <w:rsid w:val="00023101"/>
    <w:rsid w:val="0002331F"/>
    <w:rsid w:val="00023427"/>
    <w:rsid w:val="000234E6"/>
    <w:rsid w:val="00024586"/>
    <w:rsid w:val="00024DE6"/>
    <w:rsid w:val="000251A2"/>
    <w:rsid w:val="00025228"/>
    <w:rsid w:val="00025BAD"/>
    <w:rsid w:val="00025E65"/>
    <w:rsid w:val="0002612E"/>
    <w:rsid w:val="0002619C"/>
    <w:rsid w:val="000261C8"/>
    <w:rsid w:val="000265FD"/>
    <w:rsid w:val="00026AA7"/>
    <w:rsid w:val="00026E2D"/>
    <w:rsid w:val="0002737E"/>
    <w:rsid w:val="00027732"/>
    <w:rsid w:val="00027AB8"/>
    <w:rsid w:val="00030444"/>
    <w:rsid w:val="000307B4"/>
    <w:rsid w:val="000308D8"/>
    <w:rsid w:val="00030922"/>
    <w:rsid w:val="00030A13"/>
    <w:rsid w:val="00030C57"/>
    <w:rsid w:val="0003141E"/>
    <w:rsid w:val="00031544"/>
    <w:rsid w:val="00032540"/>
    <w:rsid w:val="0003271E"/>
    <w:rsid w:val="00032DA9"/>
    <w:rsid w:val="00032F1E"/>
    <w:rsid w:val="0003351B"/>
    <w:rsid w:val="000337AA"/>
    <w:rsid w:val="00033850"/>
    <w:rsid w:val="00033C33"/>
    <w:rsid w:val="00033F36"/>
    <w:rsid w:val="0003432F"/>
    <w:rsid w:val="000344CD"/>
    <w:rsid w:val="00034511"/>
    <w:rsid w:val="0003471A"/>
    <w:rsid w:val="00034D4F"/>
    <w:rsid w:val="00034EFF"/>
    <w:rsid w:val="00035082"/>
    <w:rsid w:val="000356B2"/>
    <w:rsid w:val="000358FD"/>
    <w:rsid w:val="00035AF6"/>
    <w:rsid w:val="00035B5D"/>
    <w:rsid w:val="00035D6A"/>
    <w:rsid w:val="000361B6"/>
    <w:rsid w:val="000363A5"/>
    <w:rsid w:val="00036765"/>
    <w:rsid w:val="0003684D"/>
    <w:rsid w:val="00036997"/>
    <w:rsid w:val="00036BDE"/>
    <w:rsid w:val="00036EE5"/>
    <w:rsid w:val="000370A8"/>
    <w:rsid w:val="0003716D"/>
    <w:rsid w:val="00037192"/>
    <w:rsid w:val="000373EA"/>
    <w:rsid w:val="00037B68"/>
    <w:rsid w:val="0004008B"/>
    <w:rsid w:val="0004027E"/>
    <w:rsid w:val="00040493"/>
    <w:rsid w:val="0004078C"/>
    <w:rsid w:val="00040806"/>
    <w:rsid w:val="00040AF2"/>
    <w:rsid w:val="00040B5C"/>
    <w:rsid w:val="00040CFD"/>
    <w:rsid w:val="00040D93"/>
    <w:rsid w:val="0004140D"/>
    <w:rsid w:val="000415CD"/>
    <w:rsid w:val="00041988"/>
    <w:rsid w:val="000419C2"/>
    <w:rsid w:val="00041B6D"/>
    <w:rsid w:val="00041B70"/>
    <w:rsid w:val="00041C2D"/>
    <w:rsid w:val="00041D42"/>
    <w:rsid w:val="00041E38"/>
    <w:rsid w:val="0004225D"/>
    <w:rsid w:val="000422AA"/>
    <w:rsid w:val="000424FB"/>
    <w:rsid w:val="000425A0"/>
    <w:rsid w:val="00042768"/>
    <w:rsid w:val="00042841"/>
    <w:rsid w:val="00042C30"/>
    <w:rsid w:val="00042F34"/>
    <w:rsid w:val="00043083"/>
    <w:rsid w:val="000431FA"/>
    <w:rsid w:val="00043257"/>
    <w:rsid w:val="000433AF"/>
    <w:rsid w:val="000434B4"/>
    <w:rsid w:val="00043513"/>
    <w:rsid w:val="0004352D"/>
    <w:rsid w:val="00043838"/>
    <w:rsid w:val="00043921"/>
    <w:rsid w:val="00043994"/>
    <w:rsid w:val="000439A1"/>
    <w:rsid w:val="00043C63"/>
    <w:rsid w:val="00043CA5"/>
    <w:rsid w:val="00043E61"/>
    <w:rsid w:val="000445BF"/>
    <w:rsid w:val="00044959"/>
    <w:rsid w:val="00044DA1"/>
    <w:rsid w:val="00044E34"/>
    <w:rsid w:val="00045490"/>
    <w:rsid w:val="000455FC"/>
    <w:rsid w:val="000458D1"/>
    <w:rsid w:val="00045D6E"/>
    <w:rsid w:val="00045E4C"/>
    <w:rsid w:val="00045EA9"/>
    <w:rsid w:val="00045EBE"/>
    <w:rsid w:val="00046675"/>
    <w:rsid w:val="00047124"/>
    <w:rsid w:val="00047290"/>
    <w:rsid w:val="000477CC"/>
    <w:rsid w:val="00047C05"/>
    <w:rsid w:val="00050164"/>
    <w:rsid w:val="00050F1C"/>
    <w:rsid w:val="0005100D"/>
    <w:rsid w:val="00051639"/>
    <w:rsid w:val="00051783"/>
    <w:rsid w:val="000518D0"/>
    <w:rsid w:val="00051A14"/>
    <w:rsid w:val="00051D95"/>
    <w:rsid w:val="000520F3"/>
    <w:rsid w:val="00052388"/>
    <w:rsid w:val="000524A2"/>
    <w:rsid w:val="0005277C"/>
    <w:rsid w:val="00052870"/>
    <w:rsid w:val="00052B19"/>
    <w:rsid w:val="00052D78"/>
    <w:rsid w:val="00052F9C"/>
    <w:rsid w:val="0005335F"/>
    <w:rsid w:val="000538B1"/>
    <w:rsid w:val="00053982"/>
    <w:rsid w:val="00053C5A"/>
    <w:rsid w:val="00053CFE"/>
    <w:rsid w:val="00053D5E"/>
    <w:rsid w:val="0005408F"/>
    <w:rsid w:val="000541DB"/>
    <w:rsid w:val="00054302"/>
    <w:rsid w:val="000546E5"/>
    <w:rsid w:val="00054764"/>
    <w:rsid w:val="00054985"/>
    <w:rsid w:val="00054CEA"/>
    <w:rsid w:val="00054D2F"/>
    <w:rsid w:val="00055282"/>
    <w:rsid w:val="00055376"/>
    <w:rsid w:val="00055435"/>
    <w:rsid w:val="0005552D"/>
    <w:rsid w:val="000555D2"/>
    <w:rsid w:val="00055670"/>
    <w:rsid w:val="00055950"/>
    <w:rsid w:val="00055EFC"/>
    <w:rsid w:val="0005632F"/>
    <w:rsid w:val="00056A69"/>
    <w:rsid w:val="00056B42"/>
    <w:rsid w:val="00056B6F"/>
    <w:rsid w:val="00056F89"/>
    <w:rsid w:val="00057041"/>
    <w:rsid w:val="000573BC"/>
    <w:rsid w:val="00057836"/>
    <w:rsid w:val="00057A7C"/>
    <w:rsid w:val="00057B40"/>
    <w:rsid w:val="00057ED2"/>
    <w:rsid w:val="00060371"/>
    <w:rsid w:val="0006065E"/>
    <w:rsid w:val="000606F2"/>
    <w:rsid w:val="00060BC2"/>
    <w:rsid w:val="00060CE4"/>
    <w:rsid w:val="000612A1"/>
    <w:rsid w:val="000615CA"/>
    <w:rsid w:val="000616A5"/>
    <w:rsid w:val="00061A07"/>
    <w:rsid w:val="00061D0F"/>
    <w:rsid w:val="00061DC4"/>
    <w:rsid w:val="00061EF0"/>
    <w:rsid w:val="000620AA"/>
    <w:rsid w:val="0006225E"/>
    <w:rsid w:val="00062367"/>
    <w:rsid w:val="00062692"/>
    <w:rsid w:val="00062A9A"/>
    <w:rsid w:val="00062C3F"/>
    <w:rsid w:val="00062D32"/>
    <w:rsid w:val="00063943"/>
    <w:rsid w:val="00063AD4"/>
    <w:rsid w:val="00063CA6"/>
    <w:rsid w:val="00064436"/>
    <w:rsid w:val="00064483"/>
    <w:rsid w:val="00064779"/>
    <w:rsid w:val="00064AED"/>
    <w:rsid w:val="00064EC6"/>
    <w:rsid w:val="00064FE6"/>
    <w:rsid w:val="00065227"/>
    <w:rsid w:val="0006575B"/>
    <w:rsid w:val="000657FB"/>
    <w:rsid w:val="0006589D"/>
    <w:rsid w:val="00065A0A"/>
    <w:rsid w:val="00065AD6"/>
    <w:rsid w:val="00065ADC"/>
    <w:rsid w:val="0006639C"/>
    <w:rsid w:val="000664CE"/>
    <w:rsid w:val="000665BC"/>
    <w:rsid w:val="00066907"/>
    <w:rsid w:val="00066912"/>
    <w:rsid w:val="000676D2"/>
    <w:rsid w:val="00067C08"/>
    <w:rsid w:val="00067CFA"/>
    <w:rsid w:val="00067E09"/>
    <w:rsid w:val="0007002A"/>
    <w:rsid w:val="00070EEE"/>
    <w:rsid w:val="000711DD"/>
    <w:rsid w:val="0007155F"/>
    <w:rsid w:val="000718C8"/>
    <w:rsid w:val="00071F6C"/>
    <w:rsid w:val="0007241B"/>
    <w:rsid w:val="00072881"/>
    <w:rsid w:val="0007291C"/>
    <w:rsid w:val="0007299B"/>
    <w:rsid w:val="00072A2D"/>
    <w:rsid w:val="00072C4B"/>
    <w:rsid w:val="00072E37"/>
    <w:rsid w:val="00072F3E"/>
    <w:rsid w:val="0007308B"/>
    <w:rsid w:val="0007310E"/>
    <w:rsid w:val="000731E0"/>
    <w:rsid w:val="000732A1"/>
    <w:rsid w:val="00073466"/>
    <w:rsid w:val="000735ED"/>
    <w:rsid w:val="00073E63"/>
    <w:rsid w:val="000740D9"/>
    <w:rsid w:val="000743EC"/>
    <w:rsid w:val="00074574"/>
    <w:rsid w:val="00074CED"/>
    <w:rsid w:val="00074D69"/>
    <w:rsid w:val="00074E53"/>
    <w:rsid w:val="0007501A"/>
    <w:rsid w:val="000750C0"/>
    <w:rsid w:val="000752EE"/>
    <w:rsid w:val="00075528"/>
    <w:rsid w:val="000757FF"/>
    <w:rsid w:val="00075B20"/>
    <w:rsid w:val="00075E77"/>
    <w:rsid w:val="00076644"/>
    <w:rsid w:val="000769DE"/>
    <w:rsid w:val="00076A36"/>
    <w:rsid w:val="00076D92"/>
    <w:rsid w:val="00076F35"/>
    <w:rsid w:val="000776D3"/>
    <w:rsid w:val="00077A36"/>
    <w:rsid w:val="00077E8A"/>
    <w:rsid w:val="00077F62"/>
    <w:rsid w:val="00080040"/>
    <w:rsid w:val="00080748"/>
    <w:rsid w:val="00080D22"/>
    <w:rsid w:val="00081550"/>
    <w:rsid w:val="00081DF9"/>
    <w:rsid w:val="00081F00"/>
    <w:rsid w:val="00082081"/>
    <w:rsid w:val="00082559"/>
    <w:rsid w:val="000827C3"/>
    <w:rsid w:val="00082958"/>
    <w:rsid w:val="000829F5"/>
    <w:rsid w:val="00082C28"/>
    <w:rsid w:val="00082D61"/>
    <w:rsid w:val="000835B2"/>
    <w:rsid w:val="00083603"/>
    <w:rsid w:val="00083C96"/>
    <w:rsid w:val="00083DDA"/>
    <w:rsid w:val="00084562"/>
    <w:rsid w:val="000846F5"/>
    <w:rsid w:val="000848FA"/>
    <w:rsid w:val="00084908"/>
    <w:rsid w:val="00084B9C"/>
    <w:rsid w:val="000852D8"/>
    <w:rsid w:val="0008567F"/>
    <w:rsid w:val="00085828"/>
    <w:rsid w:val="000859B2"/>
    <w:rsid w:val="00085CD6"/>
    <w:rsid w:val="00085D0F"/>
    <w:rsid w:val="00085DAE"/>
    <w:rsid w:val="00086005"/>
    <w:rsid w:val="0008617F"/>
    <w:rsid w:val="00086250"/>
    <w:rsid w:val="000863A9"/>
    <w:rsid w:val="000867E3"/>
    <w:rsid w:val="00086941"/>
    <w:rsid w:val="00086FA1"/>
    <w:rsid w:val="0008705B"/>
    <w:rsid w:val="000871C1"/>
    <w:rsid w:val="0008756D"/>
    <w:rsid w:val="0008760B"/>
    <w:rsid w:val="00087C20"/>
    <w:rsid w:val="00087CB6"/>
    <w:rsid w:val="00087E06"/>
    <w:rsid w:val="00087FB5"/>
    <w:rsid w:val="00090241"/>
    <w:rsid w:val="00090247"/>
    <w:rsid w:val="00090D13"/>
    <w:rsid w:val="000912DD"/>
    <w:rsid w:val="000913AA"/>
    <w:rsid w:val="000918DD"/>
    <w:rsid w:val="00091B5B"/>
    <w:rsid w:val="0009222E"/>
    <w:rsid w:val="000926E4"/>
    <w:rsid w:val="000927C9"/>
    <w:rsid w:val="00092837"/>
    <w:rsid w:val="00093132"/>
    <w:rsid w:val="00093254"/>
    <w:rsid w:val="00093B00"/>
    <w:rsid w:val="00093E57"/>
    <w:rsid w:val="00094AF0"/>
    <w:rsid w:val="00094CAB"/>
    <w:rsid w:val="00094E8F"/>
    <w:rsid w:val="000953F6"/>
    <w:rsid w:val="0009559D"/>
    <w:rsid w:val="000955D7"/>
    <w:rsid w:val="000958DD"/>
    <w:rsid w:val="00095A7F"/>
    <w:rsid w:val="00095B24"/>
    <w:rsid w:val="0009600A"/>
    <w:rsid w:val="000960D6"/>
    <w:rsid w:val="0009671C"/>
    <w:rsid w:val="00097298"/>
    <w:rsid w:val="00097689"/>
    <w:rsid w:val="000976A5"/>
    <w:rsid w:val="00097C63"/>
    <w:rsid w:val="00097D3F"/>
    <w:rsid w:val="000A00D8"/>
    <w:rsid w:val="000A04F8"/>
    <w:rsid w:val="000A0724"/>
    <w:rsid w:val="000A0820"/>
    <w:rsid w:val="000A0974"/>
    <w:rsid w:val="000A099A"/>
    <w:rsid w:val="000A0B9B"/>
    <w:rsid w:val="000A0D49"/>
    <w:rsid w:val="000A1162"/>
    <w:rsid w:val="000A12CF"/>
    <w:rsid w:val="000A1548"/>
    <w:rsid w:val="000A1E8A"/>
    <w:rsid w:val="000A1EDA"/>
    <w:rsid w:val="000A21D4"/>
    <w:rsid w:val="000A2668"/>
    <w:rsid w:val="000A26C8"/>
    <w:rsid w:val="000A28B9"/>
    <w:rsid w:val="000A2A17"/>
    <w:rsid w:val="000A2DD7"/>
    <w:rsid w:val="000A302E"/>
    <w:rsid w:val="000A32C8"/>
    <w:rsid w:val="000A3367"/>
    <w:rsid w:val="000A3770"/>
    <w:rsid w:val="000A389E"/>
    <w:rsid w:val="000A3BB2"/>
    <w:rsid w:val="000A41A0"/>
    <w:rsid w:val="000A41C7"/>
    <w:rsid w:val="000A4781"/>
    <w:rsid w:val="000A4A46"/>
    <w:rsid w:val="000A4CF4"/>
    <w:rsid w:val="000A4E0B"/>
    <w:rsid w:val="000A4EE9"/>
    <w:rsid w:val="000A537A"/>
    <w:rsid w:val="000A5771"/>
    <w:rsid w:val="000A57D4"/>
    <w:rsid w:val="000A5D90"/>
    <w:rsid w:val="000A64DC"/>
    <w:rsid w:val="000A65BE"/>
    <w:rsid w:val="000A68B6"/>
    <w:rsid w:val="000A6BB0"/>
    <w:rsid w:val="000A6C1E"/>
    <w:rsid w:val="000A7021"/>
    <w:rsid w:val="000A713A"/>
    <w:rsid w:val="000A7248"/>
    <w:rsid w:val="000A731E"/>
    <w:rsid w:val="000A7440"/>
    <w:rsid w:val="000A761F"/>
    <w:rsid w:val="000A7730"/>
    <w:rsid w:val="000A7B87"/>
    <w:rsid w:val="000B04A6"/>
    <w:rsid w:val="000B04FA"/>
    <w:rsid w:val="000B0A20"/>
    <w:rsid w:val="000B0A5D"/>
    <w:rsid w:val="000B0AC7"/>
    <w:rsid w:val="000B0C7E"/>
    <w:rsid w:val="000B0D88"/>
    <w:rsid w:val="000B0F1D"/>
    <w:rsid w:val="000B156E"/>
    <w:rsid w:val="000B2555"/>
    <w:rsid w:val="000B25E0"/>
    <w:rsid w:val="000B26F3"/>
    <w:rsid w:val="000B2CB3"/>
    <w:rsid w:val="000B2D9E"/>
    <w:rsid w:val="000B2FB9"/>
    <w:rsid w:val="000B34CE"/>
    <w:rsid w:val="000B3722"/>
    <w:rsid w:val="000B3C86"/>
    <w:rsid w:val="000B4435"/>
    <w:rsid w:val="000B4C02"/>
    <w:rsid w:val="000B4DDB"/>
    <w:rsid w:val="000B4E3F"/>
    <w:rsid w:val="000B5382"/>
    <w:rsid w:val="000B586C"/>
    <w:rsid w:val="000B58E5"/>
    <w:rsid w:val="000B5BE8"/>
    <w:rsid w:val="000B5DFF"/>
    <w:rsid w:val="000B65BF"/>
    <w:rsid w:val="000B669E"/>
    <w:rsid w:val="000B6B06"/>
    <w:rsid w:val="000B71D0"/>
    <w:rsid w:val="000B7209"/>
    <w:rsid w:val="000B72EA"/>
    <w:rsid w:val="000B7331"/>
    <w:rsid w:val="000C01BE"/>
    <w:rsid w:val="000C0378"/>
    <w:rsid w:val="000C0811"/>
    <w:rsid w:val="000C08E9"/>
    <w:rsid w:val="000C0A92"/>
    <w:rsid w:val="000C0BA2"/>
    <w:rsid w:val="000C0DBE"/>
    <w:rsid w:val="000C0F86"/>
    <w:rsid w:val="000C10AC"/>
    <w:rsid w:val="000C1341"/>
    <w:rsid w:val="000C193E"/>
    <w:rsid w:val="000C1BB9"/>
    <w:rsid w:val="000C2E21"/>
    <w:rsid w:val="000C3162"/>
    <w:rsid w:val="000C347C"/>
    <w:rsid w:val="000C39F2"/>
    <w:rsid w:val="000C3BC4"/>
    <w:rsid w:val="000C4125"/>
    <w:rsid w:val="000C4B28"/>
    <w:rsid w:val="000C4BC9"/>
    <w:rsid w:val="000C533B"/>
    <w:rsid w:val="000C5510"/>
    <w:rsid w:val="000C56EB"/>
    <w:rsid w:val="000C58C7"/>
    <w:rsid w:val="000C6176"/>
    <w:rsid w:val="000C6241"/>
    <w:rsid w:val="000C6991"/>
    <w:rsid w:val="000C6AD8"/>
    <w:rsid w:val="000C6C3F"/>
    <w:rsid w:val="000C6E22"/>
    <w:rsid w:val="000C70F2"/>
    <w:rsid w:val="000C776E"/>
    <w:rsid w:val="000C7808"/>
    <w:rsid w:val="000C7A11"/>
    <w:rsid w:val="000C7C7A"/>
    <w:rsid w:val="000D025E"/>
    <w:rsid w:val="000D0595"/>
    <w:rsid w:val="000D084D"/>
    <w:rsid w:val="000D08B8"/>
    <w:rsid w:val="000D0AD8"/>
    <w:rsid w:val="000D0D74"/>
    <w:rsid w:val="000D0F43"/>
    <w:rsid w:val="000D1341"/>
    <w:rsid w:val="000D1A69"/>
    <w:rsid w:val="000D1AD7"/>
    <w:rsid w:val="000D1C2B"/>
    <w:rsid w:val="000D1D36"/>
    <w:rsid w:val="000D1F36"/>
    <w:rsid w:val="000D25A8"/>
    <w:rsid w:val="000D2634"/>
    <w:rsid w:val="000D2828"/>
    <w:rsid w:val="000D2A61"/>
    <w:rsid w:val="000D2B55"/>
    <w:rsid w:val="000D2C2D"/>
    <w:rsid w:val="000D2F20"/>
    <w:rsid w:val="000D3062"/>
    <w:rsid w:val="000D39E0"/>
    <w:rsid w:val="000D404E"/>
    <w:rsid w:val="000D42F9"/>
    <w:rsid w:val="000D432F"/>
    <w:rsid w:val="000D47B6"/>
    <w:rsid w:val="000D4864"/>
    <w:rsid w:val="000D4CAA"/>
    <w:rsid w:val="000D4D49"/>
    <w:rsid w:val="000D5C03"/>
    <w:rsid w:val="000D5E0E"/>
    <w:rsid w:val="000D5F63"/>
    <w:rsid w:val="000D63E6"/>
    <w:rsid w:val="000D65C7"/>
    <w:rsid w:val="000D6A2A"/>
    <w:rsid w:val="000D6A4C"/>
    <w:rsid w:val="000D6AAC"/>
    <w:rsid w:val="000D6B50"/>
    <w:rsid w:val="000D70F5"/>
    <w:rsid w:val="000D7181"/>
    <w:rsid w:val="000D73B1"/>
    <w:rsid w:val="000D740A"/>
    <w:rsid w:val="000D7A3F"/>
    <w:rsid w:val="000D7A83"/>
    <w:rsid w:val="000D7E75"/>
    <w:rsid w:val="000D7F49"/>
    <w:rsid w:val="000E02E4"/>
    <w:rsid w:val="000E048C"/>
    <w:rsid w:val="000E0716"/>
    <w:rsid w:val="000E0883"/>
    <w:rsid w:val="000E10F5"/>
    <w:rsid w:val="000E11A4"/>
    <w:rsid w:val="000E186A"/>
    <w:rsid w:val="000E1A1D"/>
    <w:rsid w:val="000E1EF4"/>
    <w:rsid w:val="000E1FCD"/>
    <w:rsid w:val="000E211D"/>
    <w:rsid w:val="000E2401"/>
    <w:rsid w:val="000E2497"/>
    <w:rsid w:val="000E26BC"/>
    <w:rsid w:val="000E2906"/>
    <w:rsid w:val="000E2AE1"/>
    <w:rsid w:val="000E2B80"/>
    <w:rsid w:val="000E2EE7"/>
    <w:rsid w:val="000E3250"/>
    <w:rsid w:val="000E34F3"/>
    <w:rsid w:val="000E3639"/>
    <w:rsid w:val="000E3643"/>
    <w:rsid w:val="000E3C81"/>
    <w:rsid w:val="000E4241"/>
    <w:rsid w:val="000E42D8"/>
    <w:rsid w:val="000E45E4"/>
    <w:rsid w:val="000E4657"/>
    <w:rsid w:val="000E48B6"/>
    <w:rsid w:val="000E4B20"/>
    <w:rsid w:val="000E4CE3"/>
    <w:rsid w:val="000E554A"/>
    <w:rsid w:val="000E5762"/>
    <w:rsid w:val="000E579F"/>
    <w:rsid w:val="000E5909"/>
    <w:rsid w:val="000E5CB5"/>
    <w:rsid w:val="000E5D5E"/>
    <w:rsid w:val="000E627C"/>
    <w:rsid w:val="000E6912"/>
    <w:rsid w:val="000E695F"/>
    <w:rsid w:val="000E6999"/>
    <w:rsid w:val="000E6A0F"/>
    <w:rsid w:val="000E6AEE"/>
    <w:rsid w:val="000E6D69"/>
    <w:rsid w:val="000E6E27"/>
    <w:rsid w:val="000E7023"/>
    <w:rsid w:val="000F013F"/>
    <w:rsid w:val="000F0168"/>
    <w:rsid w:val="000F08A5"/>
    <w:rsid w:val="000F09D0"/>
    <w:rsid w:val="000F09D3"/>
    <w:rsid w:val="000F0A89"/>
    <w:rsid w:val="000F0AC5"/>
    <w:rsid w:val="000F0BA4"/>
    <w:rsid w:val="000F0C23"/>
    <w:rsid w:val="000F0D72"/>
    <w:rsid w:val="000F0DBE"/>
    <w:rsid w:val="000F179A"/>
    <w:rsid w:val="000F1EB9"/>
    <w:rsid w:val="000F2189"/>
    <w:rsid w:val="000F29D1"/>
    <w:rsid w:val="000F29E5"/>
    <w:rsid w:val="000F2AB0"/>
    <w:rsid w:val="000F2C6A"/>
    <w:rsid w:val="000F2D90"/>
    <w:rsid w:val="000F316D"/>
    <w:rsid w:val="000F3557"/>
    <w:rsid w:val="000F3889"/>
    <w:rsid w:val="000F3902"/>
    <w:rsid w:val="000F3B47"/>
    <w:rsid w:val="000F42FB"/>
    <w:rsid w:val="000F44C6"/>
    <w:rsid w:val="000F44E5"/>
    <w:rsid w:val="000F4B24"/>
    <w:rsid w:val="000F5004"/>
    <w:rsid w:val="000F513D"/>
    <w:rsid w:val="000F5472"/>
    <w:rsid w:val="000F591B"/>
    <w:rsid w:val="000F5D75"/>
    <w:rsid w:val="000F601B"/>
    <w:rsid w:val="000F6498"/>
    <w:rsid w:val="000F6877"/>
    <w:rsid w:val="000F6A41"/>
    <w:rsid w:val="000F6FB0"/>
    <w:rsid w:val="000F7268"/>
    <w:rsid w:val="000F77D7"/>
    <w:rsid w:val="000F7E4D"/>
    <w:rsid w:val="00100013"/>
    <w:rsid w:val="00100029"/>
    <w:rsid w:val="00100150"/>
    <w:rsid w:val="00100704"/>
    <w:rsid w:val="00100785"/>
    <w:rsid w:val="0010079B"/>
    <w:rsid w:val="00100D17"/>
    <w:rsid w:val="00101304"/>
    <w:rsid w:val="00101BF8"/>
    <w:rsid w:val="00101F35"/>
    <w:rsid w:val="001028D4"/>
    <w:rsid w:val="0010290B"/>
    <w:rsid w:val="0010292E"/>
    <w:rsid w:val="00102CAF"/>
    <w:rsid w:val="0010383E"/>
    <w:rsid w:val="00103BD7"/>
    <w:rsid w:val="00103E13"/>
    <w:rsid w:val="00103EF9"/>
    <w:rsid w:val="00104587"/>
    <w:rsid w:val="00104680"/>
    <w:rsid w:val="00104E62"/>
    <w:rsid w:val="00104F3E"/>
    <w:rsid w:val="0010525C"/>
    <w:rsid w:val="001052B0"/>
    <w:rsid w:val="00105503"/>
    <w:rsid w:val="00105688"/>
    <w:rsid w:val="0010575B"/>
    <w:rsid w:val="00105A75"/>
    <w:rsid w:val="00105C07"/>
    <w:rsid w:val="00105E6C"/>
    <w:rsid w:val="00106157"/>
    <w:rsid w:val="001067CB"/>
    <w:rsid w:val="00106A22"/>
    <w:rsid w:val="00106A23"/>
    <w:rsid w:val="00106A72"/>
    <w:rsid w:val="00106C44"/>
    <w:rsid w:val="00106F07"/>
    <w:rsid w:val="00107080"/>
    <w:rsid w:val="0010729D"/>
    <w:rsid w:val="0010744B"/>
    <w:rsid w:val="001074C0"/>
    <w:rsid w:val="00107823"/>
    <w:rsid w:val="00110159"/>
    <w:rsid w:val="00110209"/>
    <w:rsid w:val="0011064E"/>
    <w:rsid w:val="00110CBC"/>
    <w:rsid w:val="00110D8B"/>
    <w:rsid w:val="00111474"/>
    <w:rsid w:val="00111475"/>
    <w:rsid w:val="001117A7"/>
    <w:rsid w:val="00111929"/>
    <w:rsid w:val="00111B51"/>
    <w:rsid w:val="0011234F"/>
    <w:rsid w:val="001124FA"/>
    <w:rsid w:val="00112526"/>
    <w:rsid w:val="0011252E"/>
    <w:rsid w:val="001126FC"/>
    <w:rsid w:val="001127AA"/>
    <w:rsid w:val="00113013"/>
    <w:rsid w:val="00113110"/>
    <w:rsid w:val="001131C8"/>
    <w:rsid w:val="001131CB"/>
    <w:rsid w:val="00113460"/>
    <w:rsid w:val="0011386B"/>
    <w:rsid w:val="0011391B"/>
    <w:rsid w:val="00113CA2"/>
    <w:rsid w:val="00113CEE"/>
    <w:rsid w:val="00114189"/>
    <w:rsid w:val="001144F1"/>
    <w:rsid w:val="00114550"/>
    <w:rsid w:val="001147EF"/>
    <w:rsid w:val="00114810"/>
    <w:rsid w:val="00114DD3"/>
    <w:rsid w:val="00114EB8"/>
    <w:rsid w:val="001153EF"/>
    <w:rsid w:val="001156EF"/>
    <w:rsid w:val="00115A5D"/>
    <w:rsid w:val="00115E39"/>
    <w:rsid w:val="00116CBF"/>
    <w:rsid w:val="00116D14"/>
    <w:rsid w:val="00116EE0"/>
    <w:rsid w:val="0011723E"/>
    <w:rsid w:val="001173D7"/>
    <w:rsid w:val="001174F2"/>
    <w:rsid w:val="0011758C"/>
    <w:rsid w:val="001175CD"/>
    <w:rsid w:val="0011764E"/>
    <w:rsid w:val="00117760"/>
    <w:rsid w:val="00120305"/>
    <w:rsid w:val="001205D1"/>
    <w:rsid w:val="001206C4"/>
    <w:rsid w:val="00120772"/>
    <w:rsid w:val="00120C55"/>
    <w:rsid w:val="00120E45"/>
    <w:rsid w:val="001211B5"/>
    <w:rsid w:val="00121449"/>
    <w:rsid w:val="00121841"/>
    <w:rsid w:val="00121977"/>
    <w:rsid w:val="00121AC6"/>
    <w:rsid w:val="00121E4C"/>
    <w:rsid w:val="00121E5C"/>
    <w:rsid w:val="00122078"/>
    <w:rsid w:val="0012254B"/>
    <w:rsid w:val="00122E1E"/>
    <w:rsid w:val="001232E3"/>
    <w:rsid w:val="001233EE"/>
    <w:rsid w:val="001236C2"/>
    <w:rsid w:val="00123B66"/>
    <w:rsid w:val="00123C72"/>
    <w:rsid w:val="00123E95"/>
    <w:rsid w:val="00123EAD"/>
    <w:rsid w:val="001247C8"/>
    <w:rsid w:val="001249A4"/>
    <w:rsid w:val="00124AAF"/>
    <w:rsid w:val="00124AFC"/>
    <w:rsid w:val="00124F77"/>
    <w:rsid w:val="001251F9"/>
    <w:rsid w:val="001255B2"/>
    <w:rsid w:val="001256E0"/>
    <w:rsid w:val="0012578A"/>
    <w:rsid w:val="00125CB7"/>
    <w:rsid w:val="00125D24"/>
    <w:rsid w:val="00125E7F"/>
    <w:rsid w:val="00125FED"/>
    <w:rsid w:val="001260EA"/>
    <w:rsid w:val="00126297"/>
    <w:rsid w:val="001263F1"/>
    <w:rsid w:val="0012681D"/>
    <w:rsid w:val="0012693E"/>
    <w:rsid w:val="00126B75"/>
    <w:rsid w:val="00127223"/>
    <w:rsid w:val="001272C2"/>
    <w:rsid w:val="00127535"/>
    <w:rsid w:val="001275B9"/>
    <w:rsid w:val="001275F3"/>
    <w:rsid w:val="0012793F"/>
    <w:rsid w:val="001279F5"/>
    <w:rsid w:val="00127B0E"/>
    <w:rsid w:val="00127C17"/>
    <w:rsid w:val="00127FAE"/>
    <w:rsid w:val="00130423"/>
    <w:rsid w:val="00130D03"/>
    <w:rsid w:val="00130E01"/>
    <w:rsid w:val="00131165"/>
    <w:rsid w:val="001312D1"/>
    <w:rsid w:val="001312EE"/>
    <w:rsid w:val="00131E04"/>
    <w:rsid w:val="00131E2A"/>
    <w:rsid w:val="00132315"/>
    <w:rsid w:val="001326E1"/>
    <w:rsid w:val="0013287D"/>
    <w:rsid w:val="00132F13"/>
    <w:rsid w:val="00133014"/>
    <w:rsid w:val="001335CD"/>
    <w:rsid w:val="00133A09"/>
    <w:rsid w:val="00133A14"/>
    <w:rsid w:val="00133ACA"/>
    <w:rsid w:val="00133BB7"/>
    <w:rsid w:val="00133C68"/>
    <w:rsid w:val="00133EFA"/>
    <w:rsid w:val="00134277"/>
    <w:rsid w:val="001345E3"/>
    <w:rsid w:val="00134604"/>
    <w:rsid w:val="00134949"/>
    <w:rsid w:val="00134A36"/>
    <w:rsid w:val="00134D75"/>
    <w:rsid w:val="00134E2D"/>
    <w:rsid w:val="00134E7D"/>
    <w:rsid w:val="001350CA"/>
    <w:rsid w:val="001355E3"/>
    <w:rsid w:val="0013569A"/>
    <w:rsid w:val="001356A4"/>
    <w:rsid w:val="00135B23"/>
    <w:rsid w:val="00136978"/>
    <w:rsid w:val="00136AB2"/>
    <w:rsid w:val="001372A8"/>
    <w:rsid w:val="00137A01"/>
    <w:rsid w:val="00137AB7"/>
    <w:rsid w:val="00140127"/>
    <w:rsid w:val="0014032C"/>
    <w:rsid w:val="00140832"/>
    <w:rsid w:val="00140876"/>
    <w:rsid w:val="0014095B"/>
    <w:rsid w:val="00141347"/>
    <w:rsid w:val="00141572"/>
    <w:rsid w:val="001419B6"/>
    <w:rsid w:val="00141E70"/>
    <w:rsid w:val="0014217E"/>
    <w:rsid w:val="00142411"/>
    <w:rsid w:val="00142520"/>
    <w:rsid w:val="001427F5"/>
    <w:rsid w:val="00142BC5"/>
    <w:rsid w:val="0014315D"/>
    <w:rsid w:val="0014323E"/>
    <w:rsid w:val="00143AA5"/>
    <w:rsid w:val="00143C2F"/>
    <w:rsid w:val="0014420A"/>
    <w:rsid w:val="001442A6"/>
    <w:rsid w:val="0014494B"/>
    <w:rsid w:val="00144A68"/>
    <w:rsid w:val="00144A79"/>
    <w:rsid w:val="00144E84"/>
    <w:rsid w:val="001450A1"/>
    <w:rsid w:val="00145328"/>
    <w:rsid w:val="001459CA"/>
    <w:rsid w:val="00145CDE"/>
    <w:rsid w:val="001462B5"/>
    <w:rsid w:val="00146315"/>
    <w:rsid w:val="0014673C"/>
    <w:rsid w:val="00146AC9"/>
    <w:rsid w:val="00147067"/>
    <w:rsid w:val="001477CB"/>
    <w:rsid w:val="0014794C"/>
    <w:rsid w:val="0014798E"/>
    <w:rsid w:val="00147B91"/>
    <w:rsid w:val="00147CDE"/>
    <w:rsid w:val="00147E2E"/>
    <w:rsid w:val="00147E37"/>
    <w:rsid w:val="001500C8"/>
    <w:rsid w:val="00150679"/>
    <w:rsid w:val="00150731"/>
    <w:rsid w:val="001509CD"/>
    <w:rsid w:val="00150A9B"/>
    <w:rsid w:val="00150CBD"/>
    <w:rsid w:val="0015139F"/>
    <w:rsid w:val="00151E2E"/>
    <w:rsid w:val="00151EAF"/>
    <w:rsid w:val="00151EBC"/>
    <w:rsid w:val="00151F2C"/>
    <w:rsid w:val="00152152"/>
    <w:rsid w:val="001521D0"/>
    <w:rsid w:val="0015230C"/>
    <w:rsid w:val="001525FD"/>
    <w:rsid w:val="00152813"/>
    <w:rsid w:val="0015291D"/>
    <w:rsid w:val="0015302D"/>
    <w:rsid w:val="001532D8"/>
    <w:rsid w:val="001532FC"/>
    <w:rsid w:val="00153595"/>
    <w:rsid w:val="001536CC"/>
    <w:rsid w:val="0015382C"/>
    <w:rsid w:val="00153DC4"/>
    <w:rsid w:val="00153FBC"/>
    <w:rsid w:val="00154217"/>
    <w:rsid w:val="001543C7"/>
    <w:rsid w:val="00154424"/>
    <w:rsid w:val="0015467D"/>
    <w:rsid w:val="001547EE"/>
    <w:rsid w:val="00154A43"/>
    <w:rsid w:val="00154EF1"/>
    <w:rsid w:val="00154FFC"/>
    <w:rsid w:val="0015503C"/>
    <w:rsid w:val="001550F5"/>
    <w:rsid w:val="0015525A"/>
    <w:rsid w:val="001553B2"/>
    <w:rsid w:val="001558A6"/>
    <w:rsid w:val="0015596E"/>
    <w:rsid w:val="00155BB7"/>
    <w:rsid w:val="00155EF6"/>
    <w:rsid w:val="001560E9"/>
    <w:rsid w:val="001566C0"/>
    <w:rsid w:val="00156CE1"/>
    <w:rsid w:val="00156D22"/>
    <w:rsid w:val="00157DB1"/>
    <w:rsid w:val="00160566"/>
    <w:rsid w:val="001607CF"/>
    <w:rsid w:val="00160B47"/>
    <w:rsid w:val="00160D00"/>
    <w:rsid w:val="00161385"/>
    <w:rsid w:val="001619BA"/>
    <w:rsid w:val="00161A1B"/>
    <w:rsid w:val="00161BAF"/>
    <w:rsid w:val="00161BF4"/>
    <w:rsid w:val="001622E4"/>
    <w:rsid w:val="00162921"/>
    <w:rsid w:val="00162A43"/>
    <w:rsid w:val="00162A4D"/>
    <w:rsid w:val="00162D06"/>
    <w:rsid w:val="00162DA9"/>
    <w:rsid w:val="00162FF6"/>
    <w:rsid w:val="001631B3"/>
    <w:rsid w:val="001632A0"/>
    <w:rsid w:val="00163586"/>
    <w:rsid w:val="001636C1"/>
    <w:rsid w:val="00163A5C"/>
    <w:rsid w:val="00163AB8"/>
    <w:rsid w:val="00163EC0"/>
    <w:rsid w:val="0016434F"/>
    <w:rsid w:val="00164354"/>
    <w:rsid w:val="001644AE"/>
    <w:rsid w:val="001644B9"/>
    <w:rsid w:val="001645F4"/>
    <w:rsid w:val="0016468F"/>
    <w:rsid w:val="00164A5A"/>
    <w:rsid w:val="00164A6F"/>
    <w:rsid w:val="00164D75"/>
    <w:rsid w:val="0016527C"/>
    <w:rsid w:val="001654A8"/>
    <w:rsid w:val="00165571"/>
    <w:rsid w:val="001659FA"/>
    <w:rsid w:val="00165D14"/>
    <w:rsid w:val="00165FA5"/>
    <w:rsid w:val="0016621D"/>
    <w:rsid w:val="00166AA1"/>
    <w:rsid w:val="00166B4E"/>
    <w:rsid w:val="00166DF2"/>
    <w:rsid w:val="00166E65"/>
    <w:rsid w:val="00166EAA"/>
    <w:rsid w:val="0016703E"/>
    <w:rsid w:val="00167183"/>
    <w:rsid w:val="00167222"/>
    <w:rsid w:val="0016738E"/>
    <w:rsid w:val="00167478"/>
    <w:rsid w:val="001674A3"/>
    <w:rsid w:val="0016763E"/>
    <w:rsid w:val="0016772E"/>
    <w:rsid w:val="00167AD2"/>
    <w:rsid w:val="00167BCD"/>
    <w:rsid w:val="00167DA7"/>
    <w:rsid w:val="00167FE5"/>
    <w:rsid w:val="001708CB"/>
    <w:rsid w:val="00170C29"/>
    <w:rsid w:val="0017113C"/>
    <w:rsid w:val="0017121B"/>
    <w:rsid w:val="00171597"/>
    <w:rsid w:val="00171688"/>
    <w:rsid w:val="0017187D"/>
    <w:rsid w:val="001718AD"/>
    <w:rsid w:val="001719B8"/>
    <w:rsid w:val="00171E6D"/>
    <w:rsid w:val="00171F7F"/>
    <w:rsid w:val="0017296D"/>
    <w:rsid w:val="00172C34"/>
    <w:rsid w:val="00172C93"/>
    <w:rsid w:val="00172EC3"/>
    <w:rsid w:val="00172F9C"/>
    <w:rsid w:val="00173809"/>
    <w:rsid w:val="001739AF"/>
    <w:rsid w:val="00173A66"/>
    <w:rsid w:val="00173C84"/>
    <w:rsid w:val="00173E21"/>
    <w:rsid w:val="00173EAB"/>
    <w:rsid w:val="00173EAE"/>
    <w:rsid w:val="00174757"/>
    <w:rsid w:val="001748F9"/>
    <w:rsid w:val="00174A33"/>
    <w:rsid w:val="00174CF2"/>
    <w:rsid w:val="00174DEE"/>
    <w:rsid w:val="00174DF9"/>
    <w:rsid w:val="00174E5E"/>
    <w:rsid w:val="001755CD"/>
    <w:rsid w:val="00175BBF"/>
    <w:rsid w:val="00175C54"/>
    <w:rsid w:val="00175E67"/>
    <w:rsid w:val="00176960"/>
    <w:rsid w:val="00176ACA"/>
    <w:rsid w:val="00176C04"/>
    <w:rsid w:val="00176D02"/>
    <w:rsid w:val="0017702F"/>
    <w:rsid w:val="00177039"/>
    <w:rsid w:val="00177242"/>
    <w:rsid w:val="0017726D"/>
    <w:rsid w:val="001774C4"/>
    <w:rsid w:val="001778F0"/>
    <w:rsid w:val="00177A67"/>
    <w:rsid w:val="00177FBF"/>
    <w:rsid w:val="00180397"/>
    <w:rsid w:val="00180490"/>
    <w:rsid w:val="0018051B"/>
    <w:rsid w:val="00180626"/>
    <w:rsid w:val="00180898"/>
    <w:rsid w:val="00181300"/>
    <w:rsid w:val="0018141D"/>
    <w:rsid w:val="00181446"/>
    <w:rsid w:val="0018177B"/>
    <w:rsid w:val="0018193F"/>
    <w:rsid w:val="001829C0"/>
    <w:rsid w:val="00182ACF"/>
    <w:rsid w:val="00182ADE"/>
    <w:rsid w:val="00182D21"/>
    <w:rsid w:val="00183221"/>
    <w:rsid w:val="001837EF"/>
    <w:rsid w:val="0018435C"/>
    <w:rsid w:val="00184419"/>
    <w:rsid w:val="001847C6"/>
    <w:rsid w:val="0018493F"/>
    <w:rsid w:val="001851BF"/>
    <w:rsid w:val="00185810"/>
    <w:rsid w:val="0018623A"/>
    <w:rsid w:val="00186259"/>
    <w:rsid w:val="00186BCC"/>
    <w:rsid w:val="00186BF6"/>
    <w:rsid w:val="00186D1F"/>
    <w:rsid w:val="00186E43"/>
    <w:rsid w:val="0018709A"/>
    <w:rsid w:val="00187D98"/>
    <w:rsid w:val="00190215"/>
    <w:rsid w:val="0019079F"/>
    <w:rsid w:val="00190BBB"/>
    <w:rsid w:val="00190E7D"/>
    <w:rsid w:val="00190F02"/>
    <w:rsid w:val="001911B4"/>
    <w:rsid w:val="00191455"/>
    <w:rsid w:val="001916C9"/>
    <w:rsid w:val="00191937"/>
    <w:rsid w:val="00191992"/>
    <w:rsid w:val="00191BC7"/>
    <w:rsid w:val="00191CF2"/>
    <w:rsid w:val="00191EAD"/>
    <w:rsid w:val="00191F13"/>
    <w:rsid w:val="00192413"/>
    <w:rsid w:val="001927DF"/>
    <w:rsid w:val="001932F7"/>
    <w:rsid w:val="0019335C"/>
    <w:rsid w:val="001934A7"/>
    <w:rsid w:val="00193B4A"/>
    <w:rsid w:val="00193FE1"/>
    <w:rsid w:val="00194044"/>
    <w:rsid w:val="001944FD"/>
    <w:rsid w:val="00194D67"/>
    <w:rsid w:val="00194E2F"/>
    <w:rsid w:val="0019516A"/>
    <w:rsid w:val="0019534E"/>
    <w:rsid w:val="001954B0"/>
    <w:rsid w:val="001955B2"/>
    <w:rsid w:val="00195A48"/>
    <w:rsid w:val="00195A73"/>
    <w:rsid w:val="00195B8E"/>
    <w:rsid w:val="00195D44"/>
    <w:rsid w:val="00196335"/>
    <w:rsid w:val="0019660B"/>
    <w:rsid w:val="001968A0"/>
    <w:rsid w:val="00196B64"/>
    <w:rsid w:val="00196D86"/>
    <w:rsid w:val="00196D9E"/>
    <w:rsid w:val="00196EFC"/>
    <w:rsid w:val="00197142"/>
    <w:rsid w:val="001975F1"/>
    <w:rsid w:val="00197A1E"/>
    <w:rsid w:val="00197ACB"/>
    <w:rsid w:val="00197BB5"/>
    <w:rsid w:val="00197C92"/>
    <w:rsid w:val="00197D76"/>
    <w:rsid w:val="001A0029"/>
    <w:rsid w:val="001A0339"/>
    <w:rsid w:val="001A071D"/>
    <w:rsid w:val="001A07F4"/>
    <w:rsid w:val="001A0C05"/>
    <w:rsid w:val="001A0D62"/>
    <w:rsid w:val="001A1160"/>
    <w:rsid w:val="001A18C3"/>
    <w:rsid w:val="001A1B16"/>
    <w:rsid w:val="001A2128"/>
    <w:rsid w:val="001A21B3"/>
    <w:rsid w:val="001A2420"/>
    <w:rsid w:val="001A27CB"/>
    <w:rsid w:val="001A2816"/>
    <w:rsid w:val="001A2B14"/>
    <w:rsid w:val="001A2B81"/>
    <w:rsid w:val="001A2EDC"/>
    <w:rsid w:val="001A304A"/>
    <w:rsid w:val="001A3174"/>
    <w:rsid w:val="001A3600"/>
    <w:rsid w:val="001A36BB"/>
    <w:rsid w:val="001A3705"/>
    <w:rsid w:val="001A374D"/>
    <w:rsid w:val="001A38B2"/>
    <w:rsid w:val="001A3AE4"/>
    <w:rsid w:val="001A3B24"/>
    <w:rsid w:val="001A3E1C"/>
    <w:rsid w:val="001A4040"/>
    <w:rsid w:val="001A40FD"/>
    <w:rsid w:val="001A4331"/>
    <w:rsid w:val="001A492B"/>
    <w:rsid w:val="001A4B31"/>
    <w:rsid w:val="001A4DC3"/>
    <w:rsid w:val="001A51EB"/>
    <w:rsid w:val="001A57BF"/>
    <w:rsid w:val="001A57DC"/>
    <w:rsid w:val="001A5AFA"/>
    <w:rsid w:val="001A5F4E"/>
    <w:rsid w:val="001A64C9"/>
    <w:rsid w:val="001A68CB"/>
    <w:rsid w:val="001A69A8"/>
    <w:rsid w:val="001A6CE4"/>
    <w:rsid w:val="001A6D70"/>
    <w:rsid w:val="001A6E52"/>
    <w:rsid w:val="001A73FE"/>
    <w:rsid w:val="001A74A3"/>
    <w:rsid w:val="001A7714"/>
    <w:rsid w:val="001B03B5"/>
    <w:rsid w:val="001B0954"/>
    <w:rsid w:val="001B0977"/>
    <w:rsid w:val="001B0A1E"/>
    <w:rsid w:val="001B0D91"/>
    <w:rsid w:val="001B0EE1"/>
    <w:rsid w:val="001B0FD0"/>
    <w:rsid w:val="001B119A"/>
    <w:rsid w:val="001B11C2"/>
    <w:rsid w:val="001B1794"/>
    <w:rsid w:val="001B17BC"/>
    <w:rsid w:val="001B1C89"/>
    <w:rsid w:val="001B1CC0"/>
    <w:rsid w:val="001B1EF7"/>
    <w:rsid w:val="001B25BD"/>
    <w:rsid w:val="001B2810"/>
    <w:rsid w:val="001B2848"/>
    <w:rsid w:val="001B2C60"/>
    <w:rsid w:val="001B3BA8"/>
    <w:rsid w:val="001B405F"/>
    <w:rsid w:val="001B42A3"/>
    <w:rsid w:val="001B4386"/>
    <w:rsid w:val="001B452E"/>
    <w:rsid w:val="001B46C5"/>
    <w:rsid w:val="001B4766"/>
    <w:rsid w:val="001B490F"/>
    <w:rsid w:val="001B4A38"/>
    <w:rsid w:val="001B4EE1"/>
    <w:rsid w:val="001B51AD"/>
    <w:rsid w:val="001B521A"/>
    <w:rsid w:val="001B52A7"/>
    <w:rsid w:val="001B5840"/>
    <w:rsid w:val="001B5B33"/>
    <w:rsid w:val="001B5D45"/>
    <w:rsid w:val="001B5DF5"/>
    <w:rsid w:val="001B604C"/>
    <w:rsid w:val="001B609D"/>
    <w:rsid w:val="001B6255"/>
    <w:rsid w:val="001B66A6"/>
    <w:rsid w:val="001B69A8"/>
    <w:rsid w:val="001B69C3"/>
    <w:rsid w:val="001B6F1B"/>
    <w:rsid w:val="001B712C"/>
    <w:rsid w:val="001B72CC"/>
    <w:rsid w:val="001B79E5"/>
    <w:rsid w:val="001B7A9C"/>
    <w:rsid w:val="001B7B4F"/>
    <w:rsid w:val="001B7BAC"/>
    <w:rsid w:val="001C05C5"/>
    <w:rsid w:val="001C0652"/>
    <w:rsid w:val="001C0E4E"/>
    <w:rsid w:val="001C10FF"/>
    <w:rsid w:val="001C1875"/>
    <w:rsid w:val="001C1AAD"/>
    <w:rsid w:val="001C1DA5"/>
    <w:rsid w:val="001C1E08"/>
    <w:rsid w:val="001C1ECA"/>
    <w:rsid w:val="001C230B"/>
    <w:rsid w:val="001C2EF2"/>
    <w:rsid w:val="001C2F0B"/>
    <w:rsid w:val="001C305F"/>
    <w:rsid w:val="001C3413"/>
    <w:rsid w:val="001C34BD"/>
    <w:rsid w:val="001C37C9"/>
    <w:rsid w:val="001C3A4A"/>
    <w:rsid w:val="001C3B6E"/>
    <w:rsid w:val="001C3D91"/>
    <w:rsid w:val="001C3DB6"/>
    <w:rsid w:val="001C3E58"/>
    <w:rsid w:val="001C3F02"/>
    <w:rsid w:val="001C4404"/>
    <w:rsid w:val="001C4501"/>
    <w:rsid w:val="001C45D7"/>
    <w:rsid w:val="001C489B"/>
    <w:rsid w:val="001C4C21"/>
    <w:rsid w:val="001C4D6E"/>
    <w:rsid w:val="001C4E13"/>
    <w:rsid w:val="001C5016"/>
    <w:rsid w:val="001C5064"/>
    <w:rsid w:val="001C5B2C"/>
    <w:rsid w:val="001C5B85"/>
    <w:rsid w:val="001C5C1D"/>
    <w:rsid w:val="001C5F9F"/>
    <w:rsid w:val="001C6116"/>
    <w:rsid w:val="001C61CF"/>
    <w:rsid w:val="001C68EC"/>
    <w:rsid w:val="001C69B3"/>
    <w:rsid w:val="001C6EBA"/>
    <w:rsid w:val="001C7004"/>
    <w:rsid w:val="001C74FF"/>
    <w:rsid w:val="001C757A"/>
    <w:rsid w:val="001C76ED"/>
    <w:rsid w:val="001C77FD"/>
    <w:rsid w:val="001D01C7"/>
    <w:rsid w:val="001D03B4"/>
    <w:rsid w:val="001D0430"/>
    <w:rsid w:val="001D05A3"/>
    <w:rsid w:val="001D061F"/>
    <w:rsid w:val="001D0813"/>
    <w:rsid w:val="001D0840"/>
    <w:rsid w:val="001D08AD"/>
    <w:rsid w:val="001D0C65"/>
    <w:rsid w:val="001D0EAF"/>
    <w:rsid w:val="001D16B2"/>
    <w:rsid w:val="001D17A9"/>
    <w:rsid w:val="001D183D"/>
    <w:rsid w:val="001D1B7A"/>
    <w:rsid w:val="001D1F2E"/>
    <w:rsid w:val="001D1F7E"/>
    <w:rsid w:val="001D20AF"/>
    <w:rsid w:val="001D246F"/>
    <w:rsid w:val="001D254C"/>
    <w:rsid w:val="001D270A"/>
    <w:rsid w:val="001D2767"/>
    <w:rsid w:val="001D2CAC"/>
    <w:rsid w:val="001D37DF"/>
    <w:rsid w:val="001D38BB"/>
    <w:rsid w:val="001D3A52"/>
    <w:rsid w:val="001D3D8E"/>
    <w:rsid w:val="001D3E8B"/>
    <w:rsid w:val="001D40E4"/>
    <w:rsid w:val="001D45D6"/>
    <w:rsid w:val="001D47F7"/>
    <w:rsid w:val="001D48F7"/>
    <w:rsid w:val="001D4B07"/>
    <w:rsid w:val="001D4BCD"/>
    <w:rsid w:val="001D4DFD"/>
    <w:rsid w:val="001D4F4B"/>
    <w:rsid w:val="001D5399"/>
    <w:rsid w:val="001D56A6"/>
    <w:rsid w:val="001D5955"/>
    <w:rsid w:val="001D59CD"/>
    <w:rsid w:val="001D5B6B"/>
    <w:rsid w:val="001D5CA5"/>
    <w:rsid w:val="001D5FB9"/>
    <w:rsid w:val="001D6684"/>
    <w:rsid w:val="001D6722"/>
    <w:rsid w:val="001D68E8"/>
    <w:rsid w:val="001D6D9A"/>
    <w:rsid w:val="001D6EFD"/>
    <w:rsid w:val="001D6FEF"/>
    <w:rsid w:val="001D72A3"/>
    <w:rsid w:val="001D74A2"/>
    <w:rsid w:val="001D7989"/>
    <w:rsid w:val="001D7B4F"/>
    <w:rsid w:val="001D7B6E"/>
    <w:rsid w:val="001D7C19"/>
    <w:rsid w:val="001D7C66"/>
    <w:rsid w:val="001E000E"/>
    <w:rsid w:val="001E021E"/>
    <w:rsid w:val="001E0249"/>
    <w:rsid w:val="001E0296"/>
    <w:rsid w:val="001E0300"/>
    <w:rsid w:val="001E0402"/>
    <w:rsid w:val="001E0468"/>
    <w:rsid w:val="001E0704"/>
    <w:rsid w:val="001E087F"/>
    <w:rsid w:val="001E100C"/>
    <w:rsid w:val="001E1310"/>
    <w:rsid w:val="001E1633"/>
    <w:rsid w:val="001E1BF9"/>
    <w:rsid w:val="001E1E5B"/>
    <w:rsid w:val="001E1F60"/>
    <w:rsid w:val="001E1FD1"/>
    <w:rsid w:val="001E2358"/>
    <w:rsid w:val="001E2490"/>
    <w:rsid w:val="001E2738"/>
    <w:rsid w:val="001E279A"/>
    <w:rsid w:val="001E2910"/>
    <w:rsid w:val="001E2A49"/>
    <w:rsid w:val="001E2BF0"/>
    <w:rsid w:val="001E2E85"/>
    <w:rsid w:val="001E3467"/>
    <w:rsid w:val="001E3A05"/>
    <w:rsid w:val="001E3A09"/>
    <w:rsid w:val="001E3E48"/>
    <w:rsid w:val="001E4B50"/>
    <w:rsid w:val="001E4C47"/>
    <w:rsid w:val="001E4CA1"/>
    <w:rsid w:val="001E4D82"/>
    <w:rsid w:val="001E4DFB"/>
    <w:rsid w:val="001E5F09"/>
    <w:rsid w:val="001E6076"/>
    <w:rsid w:val="001E62C9"/>
    <w:rsid w:val="001E6408"/>
    <w:rsid w:val="001E654D"/>
    <w:rsid w:val="001E6E01"/>
    <w:rsid w:val="001E76B4"/>
    <w:rsid w:val="001E7BA3"/>
    <w:rsid w:val="001E7CCC"/>
    <w:rsid w:val="001E7CD4"/>
    <w:rsid w:val="001E7E2F"/>
    <w:rsid w:val="001E7E75"/>
    <w:rsid w:val="001F07CF"/>
    <w:rsid w:val="001F0AC7"/>
    <w:rsid w:val="001F0BA3"/>
    <w:rsid w:val="001F0D99"/>
    <w:rsid w:val="001F0FCC"/>
    <w:rsid w:val="001F14E5"/>
    <w:rsid w:val="001F1553"/>
    <w:rsid w:val="001F1797"/>
    <w:rsid w:val="001F1964"/>
    <w:rsid w:val="001F1986"/>
    <w:rsid w:val="001F1B66"/>
    <w:rsid w:val="001F1C74"/>
    <w:rsid w:val="001F2369"/>
    <w:rsid w:val="001F23FC"/>
    <w:rsid w:val="001F248D"/>
    <w:rsid w:val="001F27D7"/>
    <w:rsid w:val="001F2B1D"/>
    <w:rsid w:val="001F2BA4"/>
    <w:rsid w:val="001F2BAF"/>
    <w:rsid w:val="001F2DFE"/>
    <w:rsid w:val="001F2EAA"/>
    <w:rsid w:val="001F3038"/>
    <w:rsid w:val="001F30FC"/>
    <w:rsid w:val="001F346B"/>
    <w:rsid w:val="001F3676"/>
    <w:rsid w:val="001F3847"/>
    <w:rsid w:val="001F3A0B"/>
    <w:rsid w:val="001F3AAE"/>
    <w:rsid w:val="001F3B23"/>
    <w:rsid w:val="001F40FD"/>
    <w:rsid w:val="001F4104"/>
    <w:rsid w:val="001F4388"/>
    <w:rsid w:val="001F4ACA"/>
    <w:rsid w:val="001F4E9E"/>
    <w:rsid w:val="001F549E"/>
    <w:rsid w:val="001F553F"/>
    <w:rsid w:val="001F5726"/>
    <w:rsid w:val="001F5904"/>
    <w:rsid w:val="001F593B"/>
    <w:rsid w:val="001F5963"/>
    <w:rsid w:val="001F6446"/>
    <w:rsid w:val="001F6778"/>
    <w:rsid w:val="001F6AAB"/>
    <w:rsid w:val="001F6CB5"/>
    <w:rsid w:val="001F71BD"/>
    <w:rsid w:val="001F734F"/>
    <w:rsid w:val="001F791A"/>
    <w:rsid w:val="001F7A12"/>
    <w:rsid w:val="0020010B"/>
    <w:rsid w:val="00200250"/>
    <w:rsid w:val="00200489"/>
    <w:rsid w:val="002005F3"/>
    <w:rsid w:val="00200AEC"/>
    <w:rsid w:val="00200DED"/>
    <w:rsid w:val="00200EBC"/>
    <w:rsid w:val="00201444"/>
    <w:rsid w:val="002014D0"/>
    <w:rsid w:val="0020150D"/>
    <w:rsid w:val="0020151B"/>
    <w:rsid w:val="00201AEC"/>
    <w:rsid w:val="00201F6D"/>
    <w:rsid w:val="002024B4"/>
    <w:rsid w:val="00202562"/>
    <w:rsid w:val="00202625"/>
    <w:rsid w:val="00202C2B"/>
    <w:rsid w:val="00202F29"/>
    <w:rsid w:val="002039C8"/>
    <w:rsid w:val="00203E85"/>
    <w:rsid w:val="002040F7"/>
    <w:rsid w:val="00204314"/>
    <w:rsid w:val="00204455"/>
    <w:rsid w:val="00204662"/>
    <w:rsid w:val="002051AA"/>
    <w:rsid w:val="0020529A"/>
    <w:rsid w:val="0020547D"/>
    <w:rsid w:val="00205645"/>
    <w:rsid w:val="002057F2"/>
    <w:rsid w:val="002058B9"/>
    <w:rsid w:val="002059F7"/>
    <w:rsid w:val="00205ABD"/>
    <w:rsid w:val="00205C33"/>
    <w:rsid w:val="00205C73"/>
    <w:rsid w:val="002063EF"/>
    <w:rsid w:val="002067B3"/>
    <w:rsid w:val="00206950"/>
    <w:rsid w:val="00206E0E"/>
    <w:rsid w:val="002073AA"/>
    <w:rsid w:val="00207453"/>
    <w:rsid w:val="0020755D"/>
    <w:rsid w:val="002076EC"/>
    <w:rsid w:val="00207A26"/>
    <w:rsid w:val="00207E4B"/>
    <w:rsid w:val="00207EE5"/>
    <w:rsid w:val="00207F0F"/>
    <w:rsid w:val="0021005C"/>
    <w:rsid w:val="00210259"/>
    <w:rsid w:val="00210414"/>
    <w:rsid w:val="002108D8"/>
    <w:rsid w:val="0021092A"/>
    <w:rsid w:val="002109B4"/>
    <w:rsid w:val="00210DB7"/>
    <w:rsid w:val="00210ED4"/>
    <w:rsid w:val="0021195D"/>
    <w:rsid w:val="00211DAF"/>
    <w:rsid w:val="00212114"/>
    <w:rsid w:val="002123D0"/>
    <w:rsid w:val="0021251E"/>
    <w:rsid w:val="00212BDF"/>
    <w:rsid w:val="00212DFD"/>
    <w:rsid w:val="00213181"/>
    <w:rsid w:val="00213450"/>
    <w:rsid w:val="00213832"/>
    <w:rsid w:val="002138EC"/>
    <w:rsid w:val="002139C7"/>
    <w:rsid w:val="002141C1"/>
    <w:rsid w:val="002141CE"/>
    <w:rsid w:val="002142B7"/>
    <w:rsid w:val="0021434A"/>
    <w:rsid w:val="00214385"/>
    <w:rsid w:val="00214388"/>
    <w:rsid w:val="002143BE"/>
    <w:rsid w:val="002147C2"/>
    <w:rsid w:val="00214897"/>
    <w:rsid w:val="002148E0"/>
    <w:rsid w:val="002155FB"/>
    <w:rsid w:val="0021560B"/>
    <w:rsid w:val="002157BA"/>
    <w:rsid w:val="00215ABE"/>
    <w:rsid w:val="00215D1E"/>
    <w:rsid w:val="00215D49"/>
    <w:rsid w:val="002161EF"/>
    <w:rsid w:val="0021667A"/>
    <w:rsid w:val="00216E89"/>
    <w:rsid w:val="00216FA1"/>
    <w:rsid w:val="00217327"/>
    <w:rsid w:val="00217AC7"/>
    <w:rsid w:val="00217C63"/>
    <w:rsid w:val="00217D2B"/>
    <w:rsid w:val="00217E6E"/>
    <w:rsid w:val="0022029F"/>
    <w:rsid w:val="002205B7"/>
    <w:rsid w:val="00220665"/>
    <w:rsid w:val="0022096B"/>
    <w:rsid w:val="00220A54"/>
    <w:rsid w:val="00220ACA"/>
    <w:rsid w:val="00220BB8"/>
    <w:rsid w:val="00220CBC"/>
    <w:rsid w:val="00220E36"/>
    <w:rsid w:val="00220F37"/>
    <w:rsid w:val="00220F56"/>
    <w:rsid w:val="002211C8"/>
    <w:rsid w:val="00221672"/>
    <w:rsid w:val="002216C7"/>
    <w:rsid w:val="00222A6F"/>
    <w:rsid w:val="00222FA9"/>
    <w:rsid w:val="00223192"/>
    <w:rsid w:val="002233F3"/>
    <w:rsid w:val="002234BF"/>
    <w:rsid w:val="002234C4"/>
    <w:rsid w:val="002235DA"/>
    <w:rsid w:val="002235F6"/>
    <w:rsid w:val="00223767"/>
    <w:rsid w:val="0022379D"/>
    <w:rsid w:val="00223B14"/>
    <w:rsid w:val="00223C36"/>
    <w:rsid w:val="00223C46"/>
    <w:rsid w:val="002241F7"/>
    <w:rsid w:val="0022431F"/>
    <w:rsid w:val="002247D3"/>
    <w:rsid w:val="00224973"/>
    <w:rsid w:val="0022498F"/>
    <w:rsid w:val="00224A02"/>
    <w:rsid w:val="00225770"/>
    <w:rsid w:val="00225A30"/>
    <w:rsid w:val="00225C46"/>
    <w:rsid w:val="00225C4D"/>
    <w:rsid w:val="002262A9"/>
    <w:rsid w:val="0022631A"/>
    <w:rsid w:val="0022641B"/>
    <w:rsid w:val="002265E2"/>
    <w:rsid w:val="002266C5"/>
    <w:rsid w:val="00226703"/>
    <w:rsid w:val="00226811"/>
    <w:rsid w:val="00226836"/>
    <w:rsid w:val="00227461"/>
    <w:rsid w:val="002274F7"/>
    <w:rsid w:val="00227C69"/>
    <w:rsid w:val="00227EF5"/>
    <w:rsid w:val="00227FE0"/>
    <w:rsid w:val="00230266"/>
    <w:rsid w:val="002303B9"/>
    <w:rsid w:val="002305EC"/>
    <w:rsid w:val="002305FA"/>
    <w:rsid w:val="00230A05"/>
    <w:rsid w:val="00230CA9"/>
    <w:rsid w:val="002316B2"/>
    <w:rsid w:val="002316BE"/>
    <w:rsid w:val="00231793"/>
    <w:rsid w:val="00231916"/>
    <w:rsid w:val="00231AAF"/>
    <w:rsid w:val="00231DFB"/>
    <w:rsid w:val="00232382"/>
    <w:rsid w:val="00232C07"/>
    <w:rsid w:val="00232E5E"/>
    <w:rsid w:val="002331A5"/>
    <w:rsid w:val="002331D9"/>
    <w:rsid w:val="0023342D"/>
    <w:rsid w:val="002336A4"/>
    <w:rsid w:val="002336E7"/>
    <w:rsid w:val="002337E3"/>
    <w:rsid w:val="00233A83"/>
    <w:rsid w:val="00233B2A"/>
    <w:rsid w:val="00233E81"/>
    <w:rsid w:val="00233FE0"/>
    <w:rsid w:val="00234765"/>
    <w:rsid w:val="0023503C"/>
    <w:rsid w:val="0023505B"/>
    <w:rsid w:val="00235205"/>
    <w:rsid w:val="0023533E"/>
    <w:rsid w:val="0023539F"/>
    <w:rsid w:val="00235942"/>
    <w:rsid w:val="00235BA8"/>
    <w:rsid w:val="00235CCF"/>
    <w:rsid w:val="00235ED4"/>
    <w:rsid w:val="00236270"/>
    <w:rsid w:val="0023627A"/>
    <w:rsid w:val="00236B67"/>
    <w:rsid w:val="00236D44"/>
    <w:rsid w:val="00237168"/>
    <w:rsid w:val="0023737F"/>
    <w:rsid w:val="0023748F"/>
    <w:rsid w:val="002374C4"/>
    <w:rsid w:val="00237690"/>
    <w:rsid w:val="0023776D"/>
    <w:rsid w:val="00237D82"/>
    <w:rsid w:val="00237E6F"/>
    <w:rsid w:val="00237F76"/>
    <w:rsid w:val="00237FA5"/>
    <w:rsid w:val="002401CA"/>
    <w:rsid w:val="002404A1"/>
    <w:rsid w:val="002406D9"/>
    <w:rsid w:val="002406F4"/>
    <w:rsid w:val="0024075B"/>
    <w:rsid w:val="002407A2"/>
    <w:rsid w:val="002409D9"/>
    <w:rsid w:val="00240D85"/>
    <w:rsid w:val="002411CC"/>
    <w:rsid w:val="00241319"/>
    <w:rsid w:val="0024172A"/>
    <w:rsid w:val="00241905"/>
    <w:rsid w:val="00242210"/>
    <w:rsid w:val="00242264"/>
    <w:rsid w:val="00242658"/>
    <w:rsid w:val="00242E02"/>
    <w:rsid w:val="0024343F"/>
    <w:rsid w:val="0024349B"/>
    <w:rsid w:val="00243682"/>
    <w:rsid w:val="0024387F"/>
    <w:rsid w:val="002438B9"/>
    <w:rsid w:val="002439AF"/>
    <w:rsid w:val="002439F8"/>
    <w:rsid w:val="00243A8D"/>
    <w:rsid w:val="0024411D"/>
    <w:rsid w:val="00244271"/>
    <w:rsid w:val="002443BE"/>
    <w:rsid w:val="00244DDB"/>
    <w:rsid w:val="002451AA"/>
    <w:rsid w:val="00245234"/>
    <w:rsid w:val="002453BA"/>
    <w:rsid w:val="00245494"/>
    <w:rsid w:val="0024561C"/>
    <w:rsid w:val="00245787"/>
    <w:rsid w:val="00246595"/>
    <w:rsid w:val="00246781"/>
    <w:rsid w:val="00246784"/>
    <w:rsid w:val="0024679D"/>
    <w:rsid w:val="00246AD4"/>
    <w:rsid w:val="00246AD6"/>
    <w:rsid w:val="00246CEC"/>
    <w:rsid w:val="00247106"/>
    <w:rsid w:val="00247A0E"/>
    <w:rsid w:val="00247AD0"/>
    <w:rsid w:val="00250829"/>
    <w:rsid w:val="00250F8D"/>
    <w:rsid w:val="00251012"/>
    <w:rsid w:val="002510A8"/>
    <w:rsid w:val="00251890"/>
    <w:rsid w:val="002518C6"/>
    <w:rsid w:val="00251B50"/>
    <w:rsid w:val="00251E9B"/>
    <w:rsid w:val="00252191"/>
    <w:rsid w:val="00252221"/>
    <w:rsid w:val="00252247"/>
    <w:rsid w:val="00252264"/>
    <w:rsid w:val="002526C2"/>
    <w:rsid w:val="002529E4"/>
    <w:rsid w:val="00252D56"/>
    <w:rsid w:val="0025304B"/>
    <w:rsid w:val="002532B3"/>
    <w:rsid w:val="00253742"/>
    <w:rsid w:val="00253871"/>
    <w:rsid w:val="002538E1"/>
    <w:rsid w:val="00253B6D"/>
    <w:rsid w:val="0025403F"/>
    <w:rsid w:val="00254089"/>
    <w:rsid w:val="002544B0"/>
    <w:rsid w:val="00254544"/>
    <w:rsid w:val="00254FA0"/>
    <w:rsid w:val="00255486"/>
    <w:rsid w:val="002555C8"/>
    <w:rsid w:val="00255BA7"/>
    <w:rsid w:val="00255BA9"/>
    <w:rsid w:val="0025624E"/>
    <w:rsid w:val="002565DE"/>
    <w:rsid w:val="002569AD"/>
    <w:rsid w:val="00256F73"/>
    <w:rsid w:val="00257001"/>
    <w:rsid w:val="002572B1"/>
    <w:rsid w:val="002576F8"/>
    <w:rsid w:val="00257C54"/>
    <w:rsid w:val="002601A4"/>
    <w:rsid w:val="002603B7"/>
    <w:rsid w:val="00260CCA"/>
    <w:rsid w:val="00260D22"/>
    <w:rsid w:val="00260DC5"/>
    <w:rsid w:val="00261518"/>
    <w:rsid w:val="0026173F"/>
    <w:rsid w:val="002618FA"/>
    <w:rsid w:val="00261B8A"/>
    <w:rsid w:val="00261C36"/>
    <w:rsid w:val="00261F61"/>
    <w:rsid w:val="00261F74"/>
    <w:rsid w:val="00262329"/>
    <w:rsid w:val="00262560"/>
    <w:rsid w:val="00262804"/>
    <w:rsid w:val="00262806"/>
    <w:rsid w:val="0026280D"/>
    <w:rsid w:val="00262978"/>
    <w:rsid w:val="00262ABE"/>
    <w:rsid w:val="00263488"/>
    <w:rsid w:val="00263766"/>
    <w:rsid w:val="00263C54"/>
    <w:rsid w:val="00263D85"/>
    <w:rsid w:val="00263EC4"/>
    <w:rsid w:val="00263F23"/>
    <w:rsid w:val="00263FDB"/>
    <w:rsid w:val="002642A0"/>
    <w:rsid w:val="002642BC"/>
    <w:rsid w:val="0026457F"/>
    <w:rsid w:val="00264587"/>
    <w:rsid w:val="002646F4"/>
    <w:rsid w:val="0026524F"/>
    <w:rsid w:val="00265695"/>
    <w:rsid w:val="00265743"/>
    <w:rsid w:val="00265CDF"/>
    <w:rsid w:val="00265E6B"/>
    <w:rsid w:val="00265F71"/>
    <w:rsid w:val="00266209"/>
    <w:rsid w:val="0026629D"/>
    <w:rsid w:val="002663E9"/>
    <w:rsid w:val="002664EE"/>
    <w:rsid w:val="0026656D"/>
    <w:rsid w:val="002668D6"/>
    <w:rsid w:val="0026690E"/>
    <w:rsid w:val="00266A81"/>
    <w:rsid w:val="002674E4"/>
    <w:rsid w:val="002677E4"/>
    <w:rsid w:val="002679A5"/>
    <w:rsid w:val="00267D21"/>
    <w:rsid w:val="00267D31"/>
    <w:rsid w:val="00270299"/>
    <w:rsid w:val="00270562"/>
    <w:rsid w:val="0027060C"/>
    <w:rsid w:val="00270685"/>
    <w:rsid w:val="00270B72"/>
    <w:rsid w:val="00270C50"/>
    <w:rsid w:val="00270D0E"/>
    <w:rsid w:val="002712A6"/>
    <w:rsid w:val="00271439"/>
    <w:rsid w:val="00271533"/>
    <w:rsid w:val="00271791"/>
    <w:rsid w:val="002717C5"/>
    <w:rsid w:val="00271AB4"/>
    <w:rsid w:val="00271E34"/>
    <w:rsid w:val="00271F5D"/>
    <w:rsid w:val="002729C8"/>
    <w:rsid w:val="00272DFA"/>
    <w:rsid w:val="00272E1A"/>
    <w:rsid w:val="0027322E"/>
    <w:rsid w:val="002735F0"/>
    <w:rsid w:val="00273F4C"/>
    <w:rsid w:val="00274070"/>
    <w:rsid w:val="00274294"/>
    <w:rsid w:val="00274A62"/>
    <w:rsid w:val="00274C5D"/>
    <w:rsid w:val="00274C9D"/>
    <w:rsid w:val="002751EC"/>
    <w:rsid w:val="0027566F"/>
    <w:rsid w:val="002757B5"/>
    <w:rsid w:val="00275957"/>
    <w:rsid w:val="00275B03"/>
    <w:rsid w:val="00275CCC"/>
    <w:rsid w:val="00275F02"/>
    <w:rsid w:val="002760F7"/>
    <w:rsid w:val="00276290"/>
    <w:rsid w:val="00276365"/>
    <w:rsid w:val="00276458"/>
    <w:rsid w:val="00276561"/>
    <w:rsid w:val="0027664C"/>
    <w:rsid w:val="00276B8E"/>
    <w:rsid w:val="00276B9C"/>
    <w:rsid w:val="00276D9A"/>
    <w:rsid w:val="00276F03"/>
    <w:rsid w:val="0027724C"/>
    <w:rsid w:val="00277253"/>
    <w:rsid w:val="002775F7"/>
    <w:rsid w:val="0027796D"/>
    <w:rsid w:val="00277A0E"/>
    <w:rsid w:val="00277C0C"/>
    <w:rsid w:val="00280309"/>
    <w:rsid w:val="00280543"/>
    <w:rsid w:val="00280563"/>
    <w:rsid w:val="002806B8"/>
    <w:rsid w:val="00280818"/>
    <w:rsid w:val="0028094E"/>
    <w:rsid w:val="002809E3"/>
    <w:rsid w:val="00280E9A"/>
    <w:rsid w:val="002813D1"/>
    <w:rsid w:val="00281789"/>
    <w:rsid w:val="00281C07"/>
    <w:rsid w:val="00281E65"/>
    <w:rsid w:val="00282024"/>
    <w:rsid w:val="00282230"/>
    <w:rsid w:val="002822EE"/>
    <w:rsid w:val="0028230E"/>
    <w:rsid w:val="0028273C"/>
    <w:rsid w:val="00282933"/>
    <w:rsid w:val="00282B7E"/>
    <w:rsid w:val="00282E5A"/>
    <w:rsid w:val="00282FF0"/>
    <w:rsid w:val="002832BF"/>
    <w:rsid w:val="002833D4"/>
    <w:rsid w:val="0028358B"/>
    <w:rsid w:val="002836BF"/>
    <w:rsid w:val="00283C80"/>
    <w:rsid w:val="00283EB3"/>
    <w:rsid w:val="00283F49"/>
    <w:rsid w:val="00284147"/>
    <w:rsid w:val="002843B8"/>
    <w:rsid w:val="002843C1"/>
    <w:rsid w:val="00284C4B"/>
    <w:rsid w:val="00284C98"/>
    <w:rsid w:val="00284EC7"/>
    <w:rsid w:val="0028506A"/>
    <w:rsid w:val="0028576F"/>
    <w:rsid w:val="00285A1B"/>
    <w:rsid w:val="00285F75"/>
    <w:rsid w:val="0028602B"/>
    <w:rsid w:val="0028618A"/>
    <w:rsid w:val="0028629E"/>
    <w:rsid w:val="002862E2"/>
    <w:rsid w:val="0028639A"/>
    <w:rsid w:val="002863D0"/>
    <w:rsid w:val="00286FD8"/>
    <w:rsid w:val="00287947"/>
    <w:rsid w:val="00287D85"/>
    <w:rsid w:val="0029035D"/>
    <w:rsid w:val="002908B8"/>
    <w:rsid w:val="002909DF"/>
    <w:rsid w:val="00290D18"/>
    <w:rsid w:val="00291195"/>
    <w:rsid w:val="0029119B"/>
    <w:rsid w:val="0029131D"/>
    <w:rsid w:val="00291516"/>
    <w:rsid w:val="00291981"/>
    <w:rsid w:val="00291A84"/>
    <w:rsid w:val="00291B15"/>
    <w:rsid w:val="00291B59"/>
    <w:rsid w:val="0029215B"/>
    <w:rsid w:val="00292328"/>
    <w:rsid w:val="002926A3"/>
    <w:rsid w:val="00292755"/>
    <w:rsid w:val="00292961"/>
    <w:rsid w:val="00292ABE"/>
    <w:rsid w:val="00292B31"/>
    <w:rsid w:val="0029304A"/>
    <w:rsid w:val="0029366E"/>
    <w:rsid w:val="002938BD"/>
    <w:rsid w:val="002938D9"/>
    <w:rsid w:val="00293D2B"/>
    <w:rsid w:val="00293D3B"/>
    <w:rsid w:val="00294276"/>
    <w:rsid w:val="002944F4"/>
    <w:rsid w:val="0029475D"/>
    <w:rsid w:val="002951E0"/>
    <w:rsid w:val="002952A4"/>
    <w:rsid w:val="002954A7"/>
    <w:rsid w:val="00295568"/>
    <w:rsid w:val="00295A61"/>
    <w:rsid w:val="00295B7E"/>
    <w:rsid w:val="00295C67"/>
    <w:rsid w:val="00295CFA"/>
    <w:rsid w:val="00296245"/>
    <w:rsid w:val="0029681B"/>
    <w:rsid w:val="00296989"/>
    <w:rsid w:val="00296A3E"/>
    <w:rsid w:val="00296AC6"/>
    <w:rsid w:val="00296FEB"/>
    <w:rsid w:val="002976EB"/>
    <w:rsid w:val="00297864"/>
    <w:rsid w:val="002979FD"/>
    <w:rsid w:val="00297B1F"/>
    <w:rsid w:val="00297F11"/>
    <w:rsid w:val="002A00B4"/>
    <w:rsid w:val="002A0145"/>
    <w:rsid w:val="002A0586"/>
    <w:rsid w:val="002A081A"/>
    <w:rsid w:val="002A08C0"/>
    <w:rsid w:val="002A1317"/>
    <w:rsid w:val="002A1345"/>
    <w:rsid w:val="002A13AB"/>
    <w:rsid w:val="002A186A"/>
    <w:rsid w:val="002A1879"/>
    <w:rsid w:val="002A1B53"/>
    <w:rsid w:val="002A1C99"/>
    <w:rsid w:val="002A1EA4"/>
    <w:rsid w:val="002A1F83"/>
    <w:rsid w:val="002A2087"/>
    <w:rsid w:val="002A20EA"/>
    <w:rsid w:val="002A225F"/>
    <w:rsid w:val="002A2720"/>
    <w:rsid w:val="002A28CD"/>
    <w:rsid w:val="002A2973"/>
    <w:rsid w:val="002A2A08"/>
    <w:rsid w:val="002A2D54"/>
    <w:rsid w:val="002A3022"/>
    <w:rsid w:val="002A3815"/>
    <w:rsid w:val="002A383B"/>
    <w:rsid w:val="002A38A2"/>
    <w:rsid w:val="002A38AC"/>
    <w:rsid w:val="002A3AD1"/>
    <w:rsid w:val="002A3FFA"/>
    <w:rsid w:val="002A445A"/>
    <w:rsid w:val="002A45DD"/>
    <w:rsid w:val="002A47F0"/>
    <w:rsid w:val="002A4927"/>
    <w:rsid w:val="002A5316"/>
    <w:rsid w:val="002A5339"/>
    <w:rsid w:val="002A5A48"/>
    <w:rsid w:val="002A5F22"/>
    <w:rsid w:val="002A5F4E"/>
    <w:rsid w:val="002A61FD"/>
    <w:rsid w:val="002A622A"/>
    <w:rsid w:val="002A6280"/>
    <w:rsid w:val="002A632F"/>
    <w:rsid w:val="002A6451"/>
    <w:rsid w:val="002A6754"/>
    <w:rsid w:val="002A6D9F"/>
    <w:rsid w:val="002A70CE"/>
    <w:rsid w:val="002A71B1"/>
    <w:rsid w:val="002A75B3"/>
    <w:rsid w:val="002A7620"/>
    <w:rsid w:val="002A767A"/>
    <w:rsid w:val="002A7693"/>
    <w:rsid w:val="002A7815"/>
    <w:rsid w:val="002A7B8D"/>
    <w:rsid w:val="002B02C7"/>
    <w:rsid w:val="002B0AF2"/>
    <w:rsid w:val="002B0B9E"/>
    <w:rsid w:val="002B0C77"/>
    <w:rsid w:val="002B0D5A"/>
    <w:rsid w:val="002B11CD"/>
    <w:rsid w:val="002B123E"/>
    <w:rsid w:val="002B130F"/>
    <w:rsid w:val="002B1536"/>
    <w:rsid w:val="002B1A53"/>
    <w:rsid w:val="002B1F88"/>
    <w:rsid w:val="002B2248"/>
    <w:rsid w:val="002B2254"/>
    <w:rsid w:val="002B226A"/>
    <w:rsid w:val="002B22E5"/>
    <w:rsid w:val="002B2471"/>
    <w:rsid w:val="002B2667"/>
    <w:rsid w:val="002B2E91"/>
    <w:rsid w:val="002B2F91"/>
    <w:rsid w:val="002B306A"/>
    <w:rsid w:val="002B3076"/>
    <w:rsid w:val="002B3093"/>
    <w:rsid w:val="002B316D"/>
    <w:rsid w:val="002B3A7D"/>
    <w:rsid w:val="002B3CE1"/>
    <w:rsid w:val="002B3D5B"/>
    <w:rsid w:val="002B3E7A"/>
    <w:rsid w:val="002B3ED9"/>
    <w:rsid w:val="002B3EF6"/>
    <w:rsid w:val="002B4074"/>
    <w:rsid w:val="002B4238"/>
    <w:rsid w:val="002B4618"/>
    <w:rsid w:val="002B4788"/>
    <w:rsid w:val="002B4A84"/>
    <w:rsid w:val="002B4B62"/>
    <w:rsid w:val="002B4CE6"/>
    <w:rsid w:val="002B4E70"/>
    <w:rsid w:val="002B4EC0"/>
    <w:rsid w:val="002B5296"/>
    <w:rsid w:val="002B529B"/>
    <w:rsid w:val="002B5719"/>
    <w:rsid w:val="002B5E27"/>
    <w:rsid w:val="002B5FF8"/>
    <w:rsid w:val="002B6193"/>
    <w:rsid w:val="002B61A7"/>
    <w:rsid w:val="002B6434"/>
    <w:rsid w:val="002B6573"/>
    <w:rsid w:val="002B66BB"/>
    <w:rsid w:val="002B67CA"/>
    <w:rsid w:val="002B69EA"/>
    <w:rsid w:val="002B7086"/>
    <w:rsid w:val="002B7A35"/>
    <w:rsid w:val="002C0378"/>
    <w:rsid w:val="002C0443"/>
    <w:rsid w:val="002C0F30"/>
    <w:rsid w:val="002C1173"/>
    <w:rsid w:val="002C1181"/>
    <w:rsid w:val="002C1891"/>
    <w:rsid w:val="002C18A1"/>
    <w:rsid w:val="002C1F36"/>
    <w:rsid w:val="002C23D5"/>
    <w:rsid w:val="002C2441"/>
    <w:rsid w:val="002C2B62"/>
    <w:rsid w:val="002C2BC0"/>
    <w:rsid w:val="002C2C8F"/>
    <w:rsid w:val="002C2D4D"/>
    <w:rsid w:val="002C2F1A"/>
    <w:rsid w:val="002C36D0"/>
    <w:rsid w:val="002C36E1"/>
    <w:rsid w:val="002C3ADE"/>
    <w:rsid w:val="002C3CF7"/>
    <w:rsid w:val="002C3DAF"/>
    <w:rsid w:val="002C3E89"/>
    <w:rsid w:val="002C403F"/>
    <w:rsid w:val="002C4809"/>
    <w:rsid w:val="002C484F"/>
    <w:rsid w:val="002C4ED3"/>
    <w:rsid w:val="002C5224"/>
    <w:rsid w:val="002C541A"/>
    <w:rsid w:val="002C55A7"/>
    <w:rsid w:val="002C57C5"/>
    <w:rsid w:val="002C5833"/>
    <w:rsid w:val="002C59D9"/>
    <w:rsid w:val="002C5AAD"/>
    <w:rsid w:val="002C5FCB"/>
    <w:rsid w:val="002C63AA"/>
    <w:rsid w:val="002C651B"/>
    <w:rsid w:val="002C6F28"/>
    <w:rsid w:val="002C7387"/>
    <w:rsid w:val="002C73BC"/>
    <w:rsid w:val="002C77A9"/>
    <w:rsid w:val="002C782C"/>
    <w:rsid w:val="002C7BB8"/>
    <w:rsid w:val="002C7D34"/>
    <w:rsid w:val="002C7DEF"/>
    <w:rsid w:val="002C7F40"/>
    <w:rsid w:val="002D055D"/>
    <w:rsid w:val="002D0705"/>
    <w:rsid w:val="002D1151"/>
    <w:rsid w:val="002D150F"/>
    <w:rsid w:val="002D1590"/>
    <w:rsid w:val="002D1A52"/>
    <w:rsid w:val="002D1AAA"/>
    <w:rsid w:val="002D1D3D"/>
    <w:rsid w:val="002D1D5B"/>
    <w:rsid w:val="002D1EF9"/>
    <w:rsid w:val="002D2160"/>
    <w:rsid w:val="002D2190"/>
    <w:rsid w:val="002D21FD"/>
    <w:rsid w:val="002D2444"/>
    <w:rsid w:val="002D27BC"/>
    <w:rsid w:val="002D2A9B"/>
    <w:rsid w:val="002D2B13"/>
    <w:rsid w:val="002D2C5C"/>
    <w:rsid w:val="002D2F93"/>
    <w:rsid w:val="002D3636"/>
    <w:rsid w:val="002D37DA"/>
    <w:rsid w:val="002D392C"/>
    <w:rsid w:val="002D39BC"/>
    <w:rsid w:val="002D3A82"/>
    <w:rsid w:val="002D4245"/>
    <w:rsid w:val="002D4AA0"/>
    <w:rsid w:val="002D4BD5"/>
    <w:rsid w:val="002D4C0F"/>
    <w:rsid w:val="002D4CCB"/>
    <w:rsid w:val="002D505A"/>
    <w:rsid w:val="002D5068"/>
    <w:rsid w:val="002D5298"/>
    <w:rsid w:val="002D59D6"/>
    <w:rsid w:val="002D5B0F"/>
    <w:rsid w:val="002D5E58"/>
    <w:rsid w:val="002D61BD"/>
    <w:rsid w:val="002D61F7"/>
    <w:rsid w:val="002D6596"/>
    <w:rsid w:val="002D66E2"/>
    <w:rsid w:val="002D695C"/>
    <w:rsid w:val="002D69A2"/>
    <w:rsid w:val="002D69A9"/>
    <w:rsid w:val="002D6FE6"/>
    <w:rsid w:val="002D7187"/>
    <w:rsid w:val="002E0009"/>
    <w:rsid w:val="002E0114"/>
    <w:rsid w:val="002E01CD"/>
    <w:rsid w:val="002E03FA"/>
    <w:rsid w:val="002E0A48"/>
    <w:rsid w:val="002E0B75"/>
    <w:rsid w:val="002E0F11"/>
    <w:rsid w:val="002E184E"/>
    <w:rsid w:val="002E1AFB"/>
    <w:rsid w:val="002E1B58"/>
    <w:rsid w:val="002E1DEC"/>
    <w:rsid w:val="002E1F5A"/>
    <w:rsid w:val="002E20A5"/>
    <w:rsid w:val="002E2656"/>
    <w:rsid w:val="002E2A1D"/>
    <w:rsid w:val="002E2B90"/>
    <w:rsid w:val="002E3023"/>
    <w:rsid w:val="002E30E4"/>
    <w:rsid w:val="002E31B4"/>
    <w:rsid w:val="002E3319"/>
    <w:rsid w:val="002E35A8"/>
    <w:rsid w:val="002E37D9"/>
    <w:rsid w:val="002E380D"/>
    <w:rsid w:val="002E3A8E"/>
    <w:rsid w:val="002E3AF9"/>
    <w:rsid w:val="002E3B0A"/>
    <w:rsid w:val="002E3F12"/>
    <w:rsid w:val="002E47C8"/>
    <w:rsid w:val="002E4AE0"/>
    <w:rsid w:val="002E4BB1"/>
    <w:rsid w:val="002E4FC8"/>
    <w:rsid w:val="002E532D"/>
    <w:rsid w:val="002E580A"/>
    <w:rsid w:val="002E5C56"/>
    <w:rsid w:val="002E5D11"/>
    <w:rsid w:val="002E5FD2"/>
    <w:rsid w:val="002E6139"/>
    <w:rsid w:val="002E6191"/>
    <w:rsid w:val="002E622F"/>
    <w:rsid w:val="002E6304"/>
    <w:rsid w:val="002E647C"/>
    <w:rsid w:val="002E6954"/>
    <w:rsid w:val="002E6D76"/>
    <w:rsid w:val="002E6E06"/>
    <w:rsid w:val="002E6F2A"/>
    <w:rsid w:val="002E7486"/>
    <w:rsid w:val="002E7808"/>
    <w:rsid w:val="002E78EF"/>
    <w:rsid w:val="002E799A"/>
    <w:rsid w:val="002E7B1C"/>
    <w:rsid w:val="002E7B50"/>
    <w:rsid w:val="002E7B5E"/>
    <w:rsid w:val="002E7F57"/>
    <w:rsid w:val="002F0212"/>
    <w:rsid w:val="002F0728"/>
    <w:rsid w:val="002F07FA"/>
    <w:rsid w:val="002F0F7D"/>
    <w:rsid w:val="002F1781"/>
    <w:rsid w:val="002F18EF"/>
    <w:rsid w:val="002F190C"/>
    <w:rsid w:val="002F1D30"/>
    <w:rsid w:val="002F1D3D"/>
    <w:rsid w:val="002F1E48"/>
    <w:rsid w:val="002F2C39"/>
    <w:rsid w:val="002F2F4C"/>
    <w:rsid w:val="002F357B"/>
    <w:rsid w:val="002F35CF"/>
    <w:rsid w:val="002F37EA"/>
    <w:rsid w:val="002F39DD"/>
    <w:rsid w:val="002F3BD2"/>
    <w:rsid w:val="002F3C98"/>
    <w:rsid w:val="002F3E5C"/>
    <w:rsid w:val="002F41F9"/>
    <w:rsid w:val="002F4878"/>
    <w:rsid w:val="002F48BD"/>
    <w:rsid w:val="002F48FB"/>
    <w:rsid w:val="002F498B"/>
    <w:rsid w:val="002F4A04"/>
    <w:rsid w:val="002F4A1F"/>
    <w:rsid w:val="002F4DF3"/>
    <w:rsid w:val="002F51B4"/>
    <w:rsid w:val="002F5444"/>
    <w:rsid w:val="002F573F"/>
    <w:rsid w:val="002F5821"/>
    <w:rsid w:val="002F5901"/>
    <w:rsid w:val="002F683E"/>
    <w:rsid w:val="002F6A94"/>
    <w:rsid w:val="002F7074"/>
    <w:rsid w:val="003003A3"/>
    <w:rsid w:val="00300447"/>
    <w:rsid w:val="003005CF"/>
    <w:rsid w:val="0030069D"/>
    <w:rsid w:val="003009BD"/>
    <w:rsid w:val="00301367"/>
    <w:rsid w:val="0030171C"/>
    <w:rsid w:val="003017F5"/>
    <w:rsid w:val="003020FF"/>
    <w:rsid w:val="00302681"/>
    <w:rsid w:val="00302FE2"/>
    <w:rsid w:val="00303126"/>
    <w:rsid w:val="00303558"/>
    <w:rsid w:val="003037A8"/>
    <w:rsid w:val="003041BF"/>
    <w:rsid w:val="00304945"/>
    <w:rsid w:val="00305445"/>
    <w:rsid w:val="0030572C"/>
    <w:rsid w:val="003057F5"/>
    <w:rsid w:val="00305BB2"/>
    <w:rsid w:val="00305F80"/>
    <w:rsid w:val="003060E5"/>
    <w:rsid w:val="0030620E"/>
    <w:rsid w:val="003064C0"/>
    <w:rsid w:val="00306659"/>
    <w:rsid w:val="003068E0"/>
    <w:rsid w:val="003071F9"/>
    <w:rsid w:val="003073E7"/>
    <w:rsid w:val="0030787B"/>
    <w:rsid w:val="00307963"/>
    <w:rsid w:val="003079E8"/>
    <w:rsid w:val="00307AF1"/>
    <w:rsid w:val="00307EDA"/>
    <w:rsid w:val="00307F58"/>
    <w:rsid w:val="00307FA0"/>
    <w:rsid w:val="003102BE"/>
    <w:rsid w:val="003102D5"/>
    <w:rsid w:val="00310324"/>
    <w:rsid w:val="00310352"/>
    <w:rsid w:val="003105AC"/>
    <w:rsid w:val="00310DD7"/>
    <w:rsid w:val="0031131A"/>
    <w:rsid w:val="003114A8"/>
    <w:rsid w:val="00311958"/>
    <w:rsid w:val="00311B6D"/>
    <w:rsid w:val="003122AA"/>
    <w:rsid w:val="0031241E"/>
    <w:rsid w:val="0031266B"/>
    <w:rsid w:val="00312B19"/>
    <w:rsid w:val="00312CC7"/>
    <w:rsid w:val="00313433"/>
    <w:rsid w:val="00313581"/>
    <w:rsid w:val="00313615"/>
    <w:rsid w:val="00313AF8"/>
    <w:rsid w:val="00314230"/>
    <w:rsid w:val="00314C5D"/>
    <w:rsid w:val="0031526D"/>
    <w:rsid w:val="0031536E"/>
    <w:rsid w:val="00315896"/>
    <w:rsid w:val="00315A9D"/>
    <w:rsid w:val="00315B17"/>
    <w:rsid w:val="00315FA7"/>
    <w:rsid w:val="0031650B"/>
    <w:rsid w:val="003167D0"/>
    <w:rsid w:val="003167D7"/>
    <w:rsid w:val="00316B60"/>
    <w:rsid w:val="00317109"/>
    <w:rsid w:val="003177D7"/>
    <w:rsid w:val="00317F1C"/>
    <w:rsid w:val="00317F2C"/>
    <w:rsid w:val="00317F92"/>
    <w:rsid w:val="00320151"/>
    <w:rsid w:val="003201E1"/>
    <w:rsid w:val="003203E2"/>
    <w:rsid w:val="003204A7"/>
    <w:rsid w:val="00320772"/>
    <w:rsid w:val="00320AEA"/>
    <w:rsid w:val="00320E6B"/>
    <w:rsid w:val="0032131F"/>
    <w:rsid w:val="003214ED"/>
    <w:rsid w:val="00321635"/>
    <w:rsid w:val="00321936"/>
    <w:rsid w:val="00321AF6"/>
    <w:rsid w:val="00321D3D"/>
    <w:rsid w:val="00321D9A"/>
    <w:rsid w:val="0032221C"/>
    <w:rsid w:val="00322285"/>
    <w:rsid w:val="00322387"/>
    <w:rsid w:val="00322491"/>
    <w:rsid w:val="00322A4A"/>
    <w:rsid w:val="00322BE0"/>
    <w:rsid w:val="00322D13"/>
    <w:rsid w:val="00322EF8"/>
    <w:rsid w:val="00323216"/>
    <w:rsid w:val="00323394"/>
    <w:rsid w:val="00323407"/>
    <w:rsid w:val="0032371B"/>
    <w:rsid w:val="00323FDD"/>
    <w:rsid w:val="003241B1"/>
    <w:rsid w:val="00324242"/>
    <w:rsid w:val="00324900"/>
    <w:rsid w:val="0032492E"/>
    <w:rsid w:val="00324C8D"/>
    <w:rsid w:val="00324E1B"/>
    <w:rsid w:val="00324F1E"/>
    <w:rsid w:val="003252B1"/>
    <w:rsid w:val="00325413"/>
    <w:rsid w:val="00325499"/>
    <w:rsid w:val="00325629"/>
    <w:rsid w:val="003256C4"/>
    <w:rsid w:val="00325938"/>
    <w:rsid w:val="00325BC6"/>
    <w:rsid w:val="00325E64"/>
    <w:rsid w:val="00325EC4"/>
    <w:rsid w:val="00326007"/>
    <w:rsid w:val="0032641C"/>
    <w:rsid w:val="00326641"/>
    <w:rsid w:val="00326726"/>
    <w:rsid w:val="00326E0A"/>
    <w:rsid w:val="00326EE2"/>
    <w:rsid w:val="0032725D"/>
    <w:rsid w:val="0032761E"/>
    <w:rsid w:val="00327B1B"/>
    <w:rsid w:val="00327B51"/>
    <w:rsid w:val="00327C38"/>
    <w:rsid w:val="00327CE0"/>
    <w:rsid w:val="00327F2C"/>
    <w:rsid w:val="00327F65"/>
    <w:rsid w:val="0033013B"/>
    <w:rsid w:val="003301B6"/>
    <w:rsid w:val="003303B8"/>
    <w:rsid w:val="003303C4"/>
    <w:rsid w:val="0033047C"/>
    <w:rsid w:val="00330518"/>
    <w:rsid w:val="00330960"/>
    <w:rsid w:val="00330FD3"/>
    <w:rsid w:val="0033120E"/>
    <w:rsid w:val="00331676"/>
    <w:rsid w:val="003316D9"/>
    <w:rsid w:val="00331AAA"/>
    <w:rsid w:val="00331AD3"/>
    <w:rsid w:val="0033281A"/>
    <w:rsid w:val="00332C1B"/>
    <w:rsid w:val="00333236"/>
    <w:rsid w:val="003333EA"/>
    <w:rsid w:val="003333F5"/>
    <w:rsid w:val="00333413"/>
    <w:rsid w:val="0033347E"/>
    <w:rsid w:val="003338F4"/>
    <w:rsid w:val="00333B1A"/>
    <w:rsid w:val="00333B3B"/>
    <w:rsid w:val="00333BDA"/>
    <w:rsid w:val="00333D06"/>
    <w:rsid w:val="00333D15"/>
    <w:rsid w:val="00333F93"/>
    <w:rsid w:val="00334125"/>
    <w:rsid w:val="00334538"/>
    <w:rsid w:val="00334CE4"/>
    <w:rsid w:val="00335490"/>
    <w:rsid w:val="003355D9"/>
    <w:rsid w:val="00335E78"/>
    <w:rsid w:val="0033608F"/>
    <w:rsid w:val="00336131"/>
    <w:rsid w:val="0033637F"/>
    <w:rsid w:val="003365E2"/>
    <w:rsid w:val="00336631"/>
    <w:rsid w:val="00336B26"/>
    <w:rsid w:val="00336BE0"/>
    <w:rsid w:val="00336D2A"/>
    <w:rsid w:val="00336D48"/>
    <w:rsid w:val="00336E9B"/>
    <w:rsid w:val="00336EDE"/>
    <w:rsid w:val="003373D7"/>
    <w:rsid w:val="00337470"/>
    <w:rsid w:val="0033777A"/>
    <w:rsid w:val="003377D2"/>
    <w:rsid w:val="00337A0B"/>
    <w:rsid w:val="00337A53"/>
    <w:rsid w:val="00337F9C"/>
    <w:rsid w:val="003401CF"/>
    <w:rsid w:val="003405E6"/>
    <w:rsid w:val="003405F8"/>
    <w:rsid w:val="00340B11"/>
    <w:rsid w:val="00340F09"/>
    <w:rsid w:val="0034105F"/>
    <w:rsid w:val="00341382"/>
    <w:rsid w:val="0034165F"/>
    <w:rsid w:val="00341D18"/>
    <w:rsid w:val="00341DCA"/>
    <w:rsid w:val="00341E77"/>
    <w:rsid w:val="00341F9A"/>
    <w:rsid w:val="0034208E"/>
    <w:rsid w:val="0034254E"/>
    <w:rsid w:val="00342565"/>
    <w:rsid w:val="0034291A"/>
    <w:rsid w:val="00342AB4"/>
    <w:rsid w:val="00342B6F"/>
    <w:rsid w:val="00343044"/>
    <w:rsid w:val="003432F7"/>
    <w:rsid w:val="00343373"/>
    <w:rsid w:val="0034343D"/>
    <w:rsid w:val="0034362E"/>
    <w:rsid w:val="0034372C"/>
    <w:rsid w:val="003437C3"/>
    <w:rsid w:val="00343A8C"/>
    <w:rsid w:val="00343A8D"/>
    <w:rsid w:val="00344453"/>
    <w:rsid w:val="0034514B"/>
    <w:rsid w:val="00345968"/>
    <w:rsid w:val="00345976"/>
    <w:rsid w:val="00345B5D"/>
    <w:rsid w:val="00345B9F"/>
    <w:rsid w:val="00345CFB"/>
    <w:rsid w:val="00346324"/>
    <w:rsid w:val="00346534"/>
    <w:rsid w:val="00346D5A"/>
    <w:rsid w:val="00346E35"/>
    <w:rsid w:val="00346ECB"/>
    <w:rsid w:val="003474AD"/>
    <w:rsid w:val="0034754A"/>
    <w:rsid w:val="00347C81"/>
    <w:rsid w:val="00347DBE"/>
    <w:rsid w:val="003500E7"/>
    <w:rsid w:val="003506B5"/>
    <w:rsid w:val="00350851"/>
    <w:rsid w:val="00350A2D"/>
    <w:rsid w:val="00351478"/>
    <w:rsid w:val="00351493"/>
    <w:rsid w:val="00352256"/>
    <w:rsid w:val="0035242E"/>
    <w:rsid w:val="00352AB6"/>
    <w:rsid w:val="00352BE2"/>
    <w:rsid w:val="00353144"/>
    <w:rsid w:val="00353346"/>
    <w:rsid w:val="0035366D"/>
    <w:rsid w:val="003536F9"/>
    <w:rsid w:val="00353867"/>
    <w:rsid w:val="00353F5F"/>
    <w:rsid w:val="0035417A"/>
    <w:rsid w:val="003541C1"/>
    <w:rsid w:val="003544DA"/>
    <w:rsid w:val="00354564"/>
    <w:rsid w:val="003545C7"/>
    <w:rsid w:val="00354940"/>
    <w:rsid w:val="00354C28"/>
    <w:rsid w:val="00354CA0"/>
    <w:rsid w:val="00354CC2"/>
    <w:rsid w:val="00354E56"/>
    <w:rsid w:val="003550FD"/>
    <w:rsid w:val="003555F3"/>
    <w:rsid w:val="0035570E"/>
    <w:rsid w:val="00355716"/>
    <w:rsid w:val="00355A08"/>
    <w:rsid w:val="00355AA2"/>
    <w:rsid w:val="00355C92"/>
    <w:rsid w:val="00356224"/>
    <w:rsid w:val="0035692D"/>
    <w:rsid w:val="00356DC6"/>
    <w:rsid w:val="00356DE2"/>
    <w:rsid w:val="00357243"/>
    <w:rsid w:val="0035757B"/>
    <w:rsid w:val="003577AE"/>
    <w:rsid w:val="0035781B"/>
    <w:rsid w:val="00357A13"/>
    <w:rsid w:val="00357D0B"/>
    <w:rsid w:val="00357EE8"/>
    <w:rsid w:val="00360CF9"/>
    <w:rsid w:val="00360F6F"/>
    <w:rsid w:val="003610CC"/>
    <w:rsid w:val="00361281"/>
    <w:rsid w:val="0036168D"/>
    <w:rsid w:val="0036177D"/>
    <w:rsid w:val="0036182D"/>
    <w:rsid w:val="0036186B"/>
    <w:rsid w:val="00361976"/>
    <w:rsid w:val="00361AD1"/>
    <w:rsid w:val="00361B49"/>
    <w:rsid w:val="0036225B"/>
    <w:rsid w:val="00362428"/>
    <w:rsid w:val="00362581"/>
    <w:rsid w:val="003625AC"/>
    <w:rsid w:val="003626B0"/>
    <w:rsid w:val="003629A0"/>
    <w:rsid w:val="00362C19"/>
    <w:rsid w:val="00363A51"/>
    <w:rsid w:val="00363C26"/>
    <w:rsid w:val="00363CB4"/>
    <w:rsid w:val="00364392"/>
    <w:rsid w:val="00364588"/>
    <w:rsid w:val="003646A1"/>
    <w:rsid w:val="0036470A"/>
    <w:rsid w:val="003647FB"/>
    <w:rsid w:val="00364993"/>
    <w:rsid w:val="00364B0E"/>
    <w:rsid w:val="00364E3B"/>
    <w:rsid w:val="00364FFD"/>
    <w:rsid w:val="00365173"/>
    <w:rsid w:val="003651B1"/>
    <w:rsid w:val="0036525C"/>
    <w:rsid w:val="00365FEE"/>
    <w:rsid w:val="0036636D"/>
    <w:rsid w:val="00366BA5"/>
    <w:rsid w:val="00366D59"/>
    <w:rsid w:val="0036709E"/>
    <w:rsid w:val="00367767"/>
    <w:rsid w:val="003677C1"/>
    <w:rsid w:val="00367B1F"/>
    <w:rsid w:val="00367E0C"/>
    <w:rsid w:val="00367FB0"/>
    <w:rsid w:val="003700F2"/>
    <w:rsid w:val="00370349"/>
    <w:rsid w:val="003705D9"/>
    <w:rsid w:val="00370841"/>
    <w:rsid w:val="0037085D"/>
    <w:rsid w:val="00370B2B"/>
    <w:rsid w:val="00370F95"/>
    <w:rsid w:val="00370FC7"/>
    <w:rsid w:val="00370FEC"/>
    <w:rsid w:val="00371317"/>
    <w:rsid w:val="00371562"/>
    <w:rsid w:val="00371727"/>
    <w:rsid w:val="00371C0B"/>
    <w:rsid w:val="00371C14"/>
    <w:rsid w:val="00371C93"/>
    <w:rsid w:val="00372407"/>
    <w:rsid w:val="00372C0A"/>
    <w:rsid w:val="00372CB6"/>
    <w:rsid w:val="00373CC4"/>
    <w:rsid w:val="00373ED3"/>
    <w:rsid w:val="00374202"/>
    <w:rsid w:val="003747DC"/>
    <w:rsid w:val="00374929"/>
    <w:rsid w:val="00374A11"/>
    <w:rsid w:val="00374B36"/>
    <w:rsid w:val="00374C70"/>
    <w:rsid w:val="00374C9C"/>
    <w:rsid w:val="003754C6"/>
    <w:rsid w:val="00375721"/>
    <w:rsid w:val="00375884"/>
    <w:rsid w:val="00375D5F"/>
    <w:rsid w:val="00375EE4"/>
    <w:rsid w:val="003760A6"/>
    <w:rsid w:val="00376287"/>
    <w:rsid w:val="003762E0"/>
    <w:rsid w:val="003763FF"/>
    <w:rsid w:val="00376442"/>
    <w:rsid w:val="0037659E"/>
    <w:rsid w:val="003765D8"/>
    <w:rsid w:val="0037697E"/>
    <w:rsid w:val="00376CD5"/>
    <w:rsid w:val="00376EC2"/>
    <w:rsid w:val="0037709E"/>
    <w:rsid w:val="0037740F"/>
    <w:rsid w:val="0037746A"/>
    <w:rsid w:val="00377755"/>
    <w:rsid w:val="00377D39"/>
    <w:rsid w:val="00377F83"/>
    <w:rsid w:val="0038000B"/>
    <w:rsid w:val="0038013F"/>
    <w:rsid w:val="00380157"/>
    <w:rsid w:val="00380428"/>
    <w:rsid w:val="003804A2"/>
    <w:rsid w:val="00380576"/>
    <w:rsid w:val="00380D60"/>
    <w:rsid w:val="00380EE9"/>
    <w:rsid w:val="00381734"/>
    <w:rsid w:val="00381816"/>
    <w:rsid w:val="00381967"/>
    <w:rsid w:val="00381B16"/>
    <w:rsid w:val="00381D90"/>
    <w:rsid w:val="00381DD4"/>
    <w:rsid w:val="00381EAF"/>
    <w:rsid w:val="00381EB8"/>
    <w:rsid w:val="003826FE"/>
    <w:rsid w:val="003828FE"/>
    <w:rsid w:val="00382E56"/>
    <w:rsid w:val="00382F0A"/>
    <w:rsid w:val="003831FF"/>
    <w:rsid w:val="0038338C"/>
    <w:rsid w:val="0038349F"/>
    <w:rsid w:val="003835B3"/>
    <w:rsid w:val="0038374B"/>
    <w:rsid w:val="00383CC9"/>
    <w:rsid w:val="00383CCD"/>
    <w:rsid w:val="00383ECC"/>
    <w:rsid w:val="00384033"/>
    <w:rsid w:val="0038433A"/>
    <w:rsid w:val="003848F4"/>
    <w:rsid w:val="00384B5E"/>
    <w:rsid w:val="003854A9"/>
    <w:rsid w:val="003854E4"/>
    <w:rsid w:val="00385A7B"/>
    <w:rsid w:val="00385AC9"/>
    <w:rsid w:val="00386093"/>
    <w:rsid w:val="003866B7"/>
    <w:rsid w:val="003871B6"/>
    <w:rsid w:val="003873DE"/>
    <w:rsid w:val="00387463"/>
    <w:rsid w:val="00390123"/>
    <w:rsid w:val="003902D3"/>
    <w:rsid w:val="00390484"/>
    <w:rsid w:val="003905D1"/>
    <w:rsid w:val="00390758"/>
    <w:rsid w:val="003909C8"/>
    <w:rsid w:val="00390C08"/>
    <w:rsid w:val="003910AA"/>
    <w:rsid w:val="003919D6"/>
    <w:rsid w:val="003919E3"/>
    <w:rsid w:val="00391D71"/>
    <w:rsid w:val="00391F01"/>
    <w:rsid w:val="0039210C"/>
    <w:rsid w:val="0039254E"/>
    <w:rsid w:val="00392C77"/>
    <w:rsid w:val="00392E65"/>
    <w:rsid w:val="00392F1D"/>
    <w:rsid w:val="00392F4D"/>
    <w:rsid w:val="00392FD3"/>
    <w:rsid w:val="003938B8"/>
    <w:rsid w:val="00393B0A"/>
    <w:rsid w:val="00393C04"/>
    <w:rsid w:val="00393F14"/>
    <w:rsid w:val="00393F86"/>
    <w:rsid w:val="00393FA0"/>
    <w:rsid w:val="003949F4"/>
    <w:rsid w:val="00394E38"/>
    <w:rsid w:val="00394FE1"/>
    <w:rsid w:val="00395097"/>
    <w:rsid w:val="003951FA"/>
    <w:rsid w:val="00395599"/>
    <w:rsid w:val="0039563F"/>
    <w:rsid w:val="00395A85"/>
    <w:rsid w:val="00396ABE"/>
    <w:rsid w:val="00396AE6"/>
    <w:rsid w:val="00396CE8"/>
    <w:rsid w:val="00396DA0"/>
    <w:rsid w:val="003970AF"/>
    <w:rsid w:val="0039724C"/>
    <w:rsid w:val="00397C99"/>
    <w:rsid w:val="00397D25"/>
    <w:rsid w:val="003A04AB"/>
    <w:rsid w:val="003A0743"/>
    <w:rsid w:val="003A0851"/>
    <w:rsid w:val="003A0B52"/>
    <w:rsid w:val="003A0CCC"/>
    <w:rsid w:val="003A0DFE"/>
    <w:rsid w:val="003A0E06"/>
    <w:rsid w:val="003A149E"/>
    <w:rsid w:val="003A1DA5"/>
    <w:rsid w:val="003A21D7"/>
    <w:rsid w:val="003A2266"/>
    <w:rsid w:val="003A2BC9"/>
    <w:rsid w:val="003A2C4A"/>
    <w:rsid w:val="003A314F"/>
    <w:rsid w:val="003A31D4"/>
    <w:rsid w:val="003A32F5"/>
    <w:rsid w:val="003A3604"/>
    <w:rsid w:val="003A3A4F"/>
    <w:rsid w:val="003A3A5E"/>
    <w:rsid w:val="003A3C14"/>
    <w:rsid w:val="003A41B1"/>
    <w:rsid w:val="003A41DA"/>
    <w:rsid w:val="003A4548"/>
    <w:rsid w:val="003A4805"/>
    <w:rsid w:val="003A49F3"/>
    <w:rsid w:val="003A4AA7"/>
    <w:rsid w:val="003A4B11"/>
    <w:rsid w:val="003A4E07"/>
    <w:rsid w:val="003A503D"/>
    <w:rsid w:val="003A5293"/>
    <w:rsid w:val="003A5A5F"/>
    <w:rsid w:val="003A5AAC"/>
    <w:rsid w:val="003A5B5E"/>
    <w:rsid w:val="003A62F2"/>
    <w:rsid w:val="003A6438"/>
    <w:rsid w:val="003A650B"/>
    <w:rsid w:val="003A6831"/>
    <w:rsid w:val="003A68E9"/>
    <w:rsid w:val="003A6B58"/>
    <w:rsid w:val="003A701B"/>
    <w:rsid w:val="003A7BD1"/>
    <w:rsid w:val="003A7CCA"/>
    <w:rsid w:val="003A7D95"/>
    <w:rsid w:val="003A7E81"/>
    <w:rsid w:val="003A7EEB"/>
    <w:rsid w:val="003B01E0"/>
    <w:rsid w:val="003B027B"/>
    <w:rsid w:val="003B033C"/>
    <w:rsid w:val="003B080B"/>
    <w:rsid w:val="003B09B7"/>
    <w:rsid w:val="003B0AC5"/>
    <w:rsid w:val="003B0B46"/>
    <w:rsid w:val="003B11DE"/>
    <w:rsid w:val="003B1326"/>
    <w:rsid w:val="003B166D"/>
    <w:rsid w:val="003B1AE5"/>
    <w:rsid w:val="003B1BE4"/>
    <w:rsid w:val="003B1E0F"/>
    <w:rsid w:val="003B2580"/>
    <w:rsid w:val="003B2676"/>
    <w:rsid w:val="003B27A9"/>
    <w:rsid w:val="003B2C11"/>
    <w:rsid w:val="003B2FF2"/>
    <w:rsid w:val="003B313B"/>
    <w:rsid w:val="003B3632"/>
    <w:rsid w:val="003B38D2"/>
    <w:rsid w:val="003B3925"/>
    <w:rsid w:val="003B3AF9"/>
    <w:rsid w:val="003B3E1E"/>
    <w:rsid w:val="003B4AA0"/>
    <w:rsid w:val="003B52F4"/>
    <w:rsid w:val="003B55DB"/>
    <w:rsid w:val="003B5ABC"/>
    <w:rsid w:val="003B5E65"/>
    <w:rsid w:val="003B6050"/>
    <w:rsid w:val="003B6556"/>
    <w:rsid w:val="003B6640"/>
    <w:rsid w:val="003B6944"/>
    <w:rsid w:val="003B6B13"/>
    <w:rsid w:val="003B753D"/>
    <w:rsid w:val="003B75B0"/>
    <w:rsid w:val="003B770C"/>
    <w:rsid w:val="003B776A"/>
    <w:rsid w:val="003B78F5"/>
    <w:rsid w:val="003C033E"/>
    <w:rsid w:val="003C060E"/>
    <w:rsid w:val="003C07DD"/>
    <w:rsid w:val="003C087A"/>
    <w:rsid w:val="003C0A75"/>
    <w:rsid w:val="003C0C47"/>
    <w:rsid w:val="003C0F82"/>
    <w:rsid w:val="003C11DA"/>
    <w:rsid w:val="003C16FB"/>
    <w:rsid w:val="003C1A4A"/>
    <w:rsid w:val="003C1CF4"/>
    <w:rsid w:val="003C1E5F"/>
    <w:rsid w:val="003C1EF5"/>
    <w:rsid w:val="003C1F75"/>
    <w:rsid w:val="003C2310"/>
    <w:rsid w:val="003C251A"/>
    <w:rsid w:val="003C2915"/>
    <w:rsid w:val="003C2942"/>
    <w:rsid w:val="003C2BAF"/>
    <w:rsid w:val="003C2EC3"/>
    <w:rsid w:val="003C36A4"/>
    <w:rsid w:val="003C37C7"/>
    <w:rsid w:val="003C3B3C"/>
    <w:rsid w:val="003C3BC6"/>
    <w:rsid w:val="003C3D48"/>
    <w:rsid w:val="003C3E52"/>
    <w:rsid w:val="003C3F25"/>
    <w:rsid w:val="003C4273"/>
    <w:rsid w:val="003C4420"/>
    <w:rsid w:val="003C4598"/>
    <w:rsid w:val="003C4901"/>
    <w:rsid w:val="003C4B26"/>
    <w:rsid w:val="003C4EDE"/>
    <w:rsid w:val="003C4F22"/>
    <w:rsid w:val="003C503F"/>
    <w:rsid w:val="003C5356"/>
    <w:rsid w:val="003C590B"/>
    <w:rsid w:val="003C6110"/>
    <w:rsid w:val="003C6242"/>
    <w:rsid w:val="003C686D"/>
    <w:rsid w:val="003C6913"/>
    <w:rsid w:val="003C6B61"/>
    <w:rsid w:val="003C6D94"/>
    <w:rsid w:val="003C6DA1"/>
    <w:rsid w:val="003C6FD0"/>
    <w:rsid w:val="003C7814"/>
    <w:rsid w:val="003C796D"/>
    <w:rsid w:val="003C7D0D"/>
    <w:rsid w:val="003C7D19"/>
    <w:rsid w:val="003D039B"/>
    <w:rsid w:val="003D03DD"/>
    <w:rsid w:val="003D0915"/>
    <w:rsid w:val="003D1008"/>
    <w:rsid w:val="003D152F"/>
    <w:rsid w:val="003D1609"/>
    <w:rsid w:val="003D1668"/>
    <w:rsid w:val="003D1AB6"/>
    <w:rsid w:val="003D21C5"/>
    <w:rsid w:val="003D2789"/>
    <w:rsid w:val="003D2A6B"/>
    <w:rsid w:val="003D2DBC"/>
    <w:rsid w:val="003D32D0"/>
    <w:rsid w:val="003D33C1"/>
    <w:rsid w:val="003D3BCD"/>
    <w:rsid w:val="003D3C9F"/>
    <w:rsid w:val="003D49F7"/>
    <w:rsid w:val="003D4C01"/>
    <w:rsid w:val="003D4D15"/>
    <w:rsid w:val="003D52CD"/>
    <w:rsid w:val="003D54B8"/>
    <w:rsid w:val="003D5771"/>
    <w:rsid w:val="003D5C6A"/>
    <w:rsid w:val="003D5D38"/>
    <w:rsid w:val="003D6B63"/>
    <w:rsid w:val="003D6D9A"/>
    <w:rsid w:val="003D74F1"/>
    <w:rsid w:val="003D79A7"/>
    <w:rsid w:val="003D7B53"/>
    <w:rsid w:val="003D7DB0"/>
    <w:rsid w:val="003D7E7D"/>
    <w:rsid w:val="003E00A6"/>
    <w:rsid w:val="003E01A9"/>
    <w:rsid w:val="003E035A"/>
    <w:rsid w:val="003E03D0"/>
    <w:rsid w:val="003E049C"/>
    <w:rsid w:val="003E0523"/>
    <w:rsid w:val="003E0E03"/>
    <w:rsid w:val="003E1346"/>
    <w:rsid w:val="003E1FC2"/>
    <w:rsid w:val="003E217F"/>
    <w:rsid w:val="003E2240"/>
    <w:rsid w:val="003E2B15"/>
    <w:rsid w:val="003E2D3B"/>
    <w:rsid w:val="003E305D"/>
    <w:rsid w:val="003E3525"/>
    <w:rsid w:val="003E388C"/>
    <w:rsid w:val="003E3D42"/>
    <w:rsid w:val="003E3F2F"/>
    <w:rsid w:val="003E3F79"/>
    <w:rsid w:val="003E4246"/>
    <w:rsid w:val="003E4279"/>
    <w:rsid w:val="003E441A"/>
    <w:rsid w:val="003E4527"/>
    <w:rsid w:val="003E4643"/>
    <w:rsid w:val="003E4828"/>
    <w:rsid w:val="003E4DA0"/>
    <w:rsid w:val="003E4F24"/>
    <w:rsid w:val="003E52DD"/>
    <w:rsid w:val="003E5503"/>
    <w:rsid w:val="003E559D"/>
    <w:rsid w:val="003E569B"/>
    <w:rsid w:val="003E6048"/>
    <w:rsid w:val="003E6127"/>
    <w:rsid w:val="003E6A40"/>
    <w:rsid w:val="003E6A99"/>
    <w:rsid w:val="003E6AD5"/>
    <w:rsid w:val="003E6B40"/>
    <w:rsid w:val="003E6E4C"/>
    <w:rsid w:val="003E6E6F"/>
    <w:rsid w:val="003E6F9E"/>
    <w:rsid w:val="003E6FA5"/>
    <w:rsid w:val="003E7051"/>
    <w:rsid w:val="003E70B0"/>
    <w:rsid w:val="003E70CA"/>
    <w:rsid w:val="003E715B"/>
    <w:rsid w:val="003E7311"/>
    <w:rsid w:val="003E7333"/>
    <w:rsid w:val="003E7797"/>
    <w:rsid w:val="003E7901"/>
    <w:rsid w:val="003F01E5"/>
    <w:rsid w:val="003F02C9"/>
    <w:rsid w:val="003F02E5"/>
    <w:rsid w:val="003F0A29"/>
    <w:rsid w:val="003F0C85"/>
    <w:rsid w:val="003F0DCC"/>
    <w:rsid w:val="003F102B"/>
    <w:rsid w:val="003F1278"/>
    <w:rsid w:val="003F17AE"/>
    <w:rsid w:val="003F18F5"/>
    <w:rsid w:val="003F1957"/>
    <w:rsid w:val="003F1F54"/>
    <w:rsid w:val="003F21A3"/>
    <w:rsid w:val="003F25DD"/>
    <w:rsid w:val="003F27BA"/>
    <w:rsid w:val="003F2E01"/>
    <w:rsid w:val="003F2E88"/>
    <w:rsid w:val="003F31B9"/>
    <w:rsid w:val="003F33ED"/>
    <w:rsid w:val="003F3784"/>
    <w:rsid w:val="003F37DB"/>
    <w:rsid w:val="003F3837"/>
    <w:rsid w:val="003F3EA6"/>
    <w:rsid w:val="003F3F67"/>
    <w:rsid w:val="003F4146"/>
    <w:rsid w:val="003F42A6"/>
    <w:rsid w:val="003F4336"/>
    <w:rsid w:val="003F43E7"/>
    <w:rsid w:val="003F443F"/>
    <w:rsid w:val="003F4B58"/>
    <w:rsid w:val="003F4BB5"/>
    <w:rsid w:val="003F528A"/>
    <w:rsid w:val="003F5A82"/>
    <w:rsid w:val="003F5B84"/>
    <w:rsid w:val="003F60F4"/>
    <w:rsid w:val="003F61AA"/>
    <w:rsid w:val="003F691C"/>
    <w:rsid w:val="003F699B"/>
    <w:rsid w:val="003F6CE0"/>
    <w:rsid w:val="003F6DE4"/>
    <w:rsid w:val="003F77E5"/>
    <w:rsid w:val="003F7D07"/>
    <w:rsid w:val="0040029D"/>
    <w:rsid w:val="004003B7"/>
    <w:rsid w:val="004004DD"/>
    <w:rsid w:val="00400B7E"/>
    <w:rsid w:val="00401276"/>
    <w:rsid w:val="0040176E"/>
    <w:rsid w:val="00401776"/>
    <w:rsid w:val="004017B0"/>
    <w:rsid w:val="0040271F"/>
    <w:rsid w:val="00402A87"/>
    <w:rsid w:val="00402AC5"/>
    <w:rsid w:val="0040305B"/>
    <w:rsid w:val="004030C8"/>
    <w:rsid w:val="0040317D"/>
    <w:rsid w:val="004032D7"/>
    <w:rsid w:val="0040335E"/>
    <w:rsid w:val="004033B9"/>
    <w:rsid w:val="004035AF"/>
    <w:rsid w:val="00403941"/>
    <w:rsid w:val="004042A2"/>
    <w:rsid w:val="004046C8"/>
    <w:rsid w:val="0040472C"/>
    <w:rsid w:val="00404B1F"/>
    <w:rsid w:val="00405118"/>
    <w:rsid w:val="004054B1"/>
    <w:rsid w:val="004055E5"/>
    <w:rsid w:val="00405EBA"/>
    <w:rsid w:val="004064D9"/>
    <w:rsid w:val="0040694B"/>
    <w:rsid w:val="00406A79"/>
    <w:rsid w:val="00406B3D"/>
    <w:rsid w:val="00406F7A"/>
    <w:rsid w:val="004071AF"/>
    <w:rsid w:val="004072ED"/>
    <w:rsid w:val="004077FB"/>
    <w:rsid w:val="00407B4F"/>
    <w:rsid w:val="00407D5B"/>
    <w:rsid w:val="004100F5"/>
    <w:rsid w:val="004106E5"/>
    <w:rsid w:val="0041071B"/>
    <w:rsid w:val="00410E91"/>
    <w:rsid w:val="0041104A"/>
    <w:rsid w:val="00411891"/>
    <w:rsid w:val="004118D1"/>
    <w:rsid w:val="0041196B"/>
    <w:rsid w:val="00412806"/>
    <w:rsid w:val="00412B87"/>
    <w:rsid w:val="00412C8A"/>
    <w:rsid w:val="00412F4E"/>
    <w:rsid w:val="00413091"/>
    <w:rsid w:val="00413161"/>
    <w:rsid w:val="00413203"/>
    <w:rsid w:val="004135BF"/>
    <w:rsid w:val="004137B1"/>
    <w:rsid w:val="004139A9"/>
    <w:rsid w:val="00413BEA"/>
    <w:rsid w:val="00414043"/>
    <w:rsid w:val="004147AB"/>
    <w:rsid w:val="004147C8"/>
    <w:rsid w:val="00414849"/>
    <w:rsid w:val="00414C14"/>
    <w:rsid w:val="00414C9F"/>
    <w:rsid w:val="00415769"/>
    <w:rsid w:val="0041579D"/>
    <w:rsid w:val="00415C70"/>
    <w:rsid w:val="00415F7B"/>
    <w:rsid w:val="00416745"/>
    <w:rsid w:val="00416A15"/>
    <w:rsid w:val="00416B86"/>
    <w:rsid w:val="00416E45"/>
    <w:rsid w:val="00417157"/>
    <w:rsid w:val="00417444"/>
    <w:rsid w:val="004201B7"/>
    <w:rsid w:val="0042027B"/>
    <w:rsid w:val="00420438"/>
    <w:rsid w:val="00420998"/>
    <w:rsid w:val="00420B42"/>
    <w:rsid w:val="00420BD8"/>
    <w:rsid w:val="00420F74"/>
    <w:rsid w:val="004210B1"/>
    <w:rsid w:val="00421906"/>
    <w:rsid w:val="00421B1D"/>
    <w:rsid w:val="0042240E"/>
    <w:rsid w:val="00422418"/>
    <w:rsid w:val="0042258D"/>
    <w:rsid w:val="0042271F"/>
    <w:rsid w:val="0042278B"/>
    <w:rsid w:val="004227F0"/>
    <w:rsid w:val="0042282F"/>
    <w:rsid w:val="00422B3D"/>
    <w:rsid w:val="00422DB3"/>
    <w:rsid w:val="004230DC"/>
    <w:rsid w:val="004232AA"/>
    <w:rsid w:val="0042348A"/>
    <w:rsid w:val="0042386E"/>
    <w:rsid w:val="004239B2"/>
    <w:rsid w:val="00423C43"/>
    <w:rsid w:val="00423CCA"/>
    <w:rsid w:val="00423D72"/>
    <w:rsid w:val="00424033"/>
    <w:rsid w:val="004240C6"/>
    <w:rsid w:val="00424C2D"/>
    <w:rsid w:val="00424FA5"/>
    <w:rsid w:val="0042559E"/>
    <w:rsid w:val="0042597E"/>
    <w:rsid w:val="0042688E"/>
    <w:rsid w:val="004268D7"/>
    <w:rsid w:val="00426B33"/>
    <w:rsid w:val="00426FAE"/>
    <w:rsid w:val="004270B4"/>
    <w:rsid w:val="004271CC"/>
    <w:rsid w:val="0042723E"/>
    <w:rsid w:val="00427513"/>
    <w:rsid w:val="00427590"/>
    <w:rsid w:val="004300F5"/>
    <w:rsid w:val="0043024C"/>
    <w:rsid w:val="004307E4"/>
    <w:rsid w:val="0043092B"/>
    <w:rsid w:val="00430D94"/>
    <w:rsid w:val="004310B4"/>
    <w:rsid w:val="00431121"/>
    <w:rsid w:val="00431206"/>
    <w:rsid w:val="00431222"/>
    <w:rsid w:val="004316F0"/>
    <w:rsid w:val="00431859"/>
    <w:rsid w:val="00431B59"/>
    <w:rsid w:val="00431F5A"/>
    <w:rsid w:val="00432466"/>
    <w:rsid w:val="00432756"/>
    <w:rsid w:val="00432B89"/>
    <w:rsid w:val="00432E8E"/>
    <w:rsid w:val="0043309D"/>
    <w:rsid w:val="00433102"/>
    <w:rsid w:val="00433315"/>
    <w:rsid w:val="004337B7"/>
    <w:rsid w:val="00433A8A"/>
    <w:rsid w:val="00433AEE"/>
    <w:rsid w:val="00433C50"/>
    <w:rsid w:val="00433CD3"/>
    <w:rsid w:val="00433D11"/>
    <w:rsid w:val="00433FA5"/>
    <w:rsid w:val="004340BF"/>
    <w:rsid w:val="004340F5"/>
    <w:rsid w:val="00434642"/>
    <w:rsid w:val="004346B0"/>
    <w:rsid w:val="0043475D"/>
    <w:rsid w:val="00434A1E"/>
    <w:rsid w:val="00434B2B"/>
    <w:rsid w:val="00434C06"/>
    <w:rsid w:val="00434D7E"/>
    <w:rsid w:val="00434D82"/>
    <w:rsid w:val="00434D95"/>
    <w:rsid w:val="004357A2"/>
    <w:rsid w:val="00435BA3"/>
    <w:rsid w:val="00435DF7"/>
    <w:rsid w:val="00435E8A"/>
    <w:rsid w:val="00435F9A"/>
    <w:rsid w:val="00436165"/>
    <w:rsid w:val="0043646C"/>
    <w:rsid w:val="004364B0"/>
    <w:rsid w:val="00436514"/>
    <w:rsid w:val="00436717"/>
    <w:rsid w:val="00436780"/>
    <w:rsid w:val="004368CC"/>
    <w:rsid w:val="00436E2B"/>
    <w:rsid w:val="0043735C"/>
    <w:rsid w:val="00440076"/>
    <w:rsid w:val="00440416"/>
    <w:rsid w:val="00440726"/>
    <w:rsid w:val="00440AD6"/>
    <w:rsid w:val="00440C22"/>
    <w:rsid w:val="00440F53"/>
    <w:rsid w:val="004412AD"/>
    <w:rsid w:val="004414BD"/>
    <w:rsid w:val="00441844"/>
    <w:rsid w:val="00441D89"/>
    <w:rsid w:val="00441F1D"/>
    <w:rsid w:val="00442443"/>
    <w:rsid w:val="004425E9"/>
    <w:rsid w:val="004429A5"/>
    <w:rsid w:val="00442C53"/>
    <w:rsid w:val="00442F6F"/>
    <w:rsid w:val="004430D9"/>
    <w:rsid w:val="0044312C"/>
    <w:rsid w:val="004431B6"/>
    <w:rsid w:val="004433F1"/>
    <w:rsid w:val="0044380C"/>
    <w:rsid w:val="00443BD5"/>
    <w:rsid w:val="00443D06"/>
    <w:rsid w:val="00444033"/>
    <w:rsid w:val="004441C1"/>
    <w:rsid w:val="00444536"/>
    <w:rsid w:val="0044465E"/>
    <w:rsid w:val="00444906"/>
    <w:rsid w:val="0044491D"/>
    <w:rsid w:val="00444D6B"/>
    <w:rsid w:val="00444EF7"/>
    <w:rsid w:val="004451A2"/>
    <w:rsid w:val="004458B6"/>
    <w:rsid w:val="0044694B"/>
    <w:rsid w:val="00446AC6"/>
    <w:rsid w:val="00447640"/>
    <w:rsid w:val="00447664"/>
    <w:rsid w:val="00447D10"/>
    <w:rsid w:val="00447D48"/>
    <w:rsid w:val="00447D5A"/>
    <w:rsid w:val="00447F82"/>
    <w:rsid w:val="004504CB"/>
    <w:rsid w:val="004505A5"/>
    <w:rsid w:val="00450A33"/>
    <w:rsid w:val="00450D62"/>
    <w:rsid w:val="00450EE2"/>
    <w:rsid w:val="00451014"/>
    <w:rsid w:val="00451B3E"/>
    <w:rsid w:val="00451BEC"/>
    <w:rsid w:val="00451E22"/>
    <w:rsid w:val="004522C5"/>
    <w:rsid w:val="00452402"/>
    <w:rsid w:val="0045274D"/>
    <w:rsid w:val="0045297A"/>
    <w:rsid w:val="00452AF5"/>
    <w:rsid w:val="00452BD9"/>
    <w:rsid w:val="00452C37"/>
    <w:rsid w:val="00452D22"/>
    <w:rsid w:val="00452E29"/>
    <w:rsid w:val="004530AC"/>
    <w:rsid w:val="00453CC7"/>
    <w:rsid w:val="00453D54"/>
    <w:rsid w:val="00453D9D"/>
    <w:rsid w:val="00453E65"/>
    <w:rsid w:val="00453FE3"/>
    <w:rsid w:val="004540FB"/>
    <w:rsid w:val="0045428B"/>
    <w:rsid w:val="00454536"/>
    <w:rsid w:val="0045461F"/>
    <w:rsid w:val="004548B4"/>
    <w:rsid w:val="00454A38"/>
    <w:rsid w:val="00455C90"/>
    <w:rsid w:val="0045603F"/>
    <w:rsid w:val="004562BA"/>
    <w:rsid w:val="004562F2"/>
    <w:rsid w:val="0045635C"/>
    <w:rsid w:val="004563EC"/>
    <w:rsid w:val="00456570"/>
    <w:rsid w:val="00457190"/>
    <w:rsid w:val="00457464"/>
    <w:rsid w:val="0045787F"/>
    <w:rsid w:val="00457B26"/>
    <w:rsid w:val="00457C54"/>
    <w:rsid w:val="00457C60"/>
    <w:rsid w:val="00457F18"/>
    <w:rsid w:val="00460623"/>
    <w:rsid w:val="00460F5A"/>
    <w:rsid w:val="00460F7A"/>
    <w:rsid w:val="0046159A"/>
    <w:rsid w:val="0046165C"/>
    <w:rsid w:val="004617CF"/>
    <w:rsid w:val="00461AD1"/>
    <w:rsid w:val="00462C05"/>
    <w:rsid w:val="00462C3A"/>
    <w:rsid w:val="00462C6E"/>
    <w:rsid w:val="00462F35"/>
    <w:rsid w:val="0046384E"/>
    <w:rsid w:val="00464186"/>
    <w:rsid w:val="0046458E"/>
    <w:rsid w:val="00464C83"/>
    <w:rsid w:val="00464DBA"/>
    <w:rsid w:val="00464F89"/>
    <w:rsid w:val="004655D5"/>
    <w:rsid w:val="00465918"/>
    <w:rsid w:val="00465B06"/>
    <w:rsid w:val="00465C93"/>
    <w:rsid w:val="00465F31"/>
    <w:rsid w:val="004663AE"/>
    <w:rsid w:val="004664AD"/>
    <w:rsid w:val="00466563"/>
    <w:rsid w:val="00466776"/>
    <w:rsid w:val="00466BD0"/>
    <w:rsid w:val="00466E69"/>
    <w:rsid w:val="00466FCD"/>
    <w:rsid w:val="00467219"/>
    <w:rsid w:val="004677B6"/>
    <w:rsid w:val="00467C1D"/>
    <w:rsid w:val="00467C66"/>
    <w:rsid w:val="004706D1"/>
    <w:rsid w:val="004708E2"/>
    <w:rsid w:val="00470A22"/>
    <w:rsid w:val="00470A2F"/>
    <w:rsid w:val="00470B34"/>
    <w:rsid w:val="00470C82"/>
    <w:rsid w:val="0047128A"/>
    <w:rsid w:val="00471530"/>
    <w:rsid w:val="00471669"/>
    <w:rsid w:val="004718F7"/>
    <w:rsid w:val="00471AAC"/>
    <w:rsid w:val="00471AB3"/>
    <w:rsid w:val="00471E4B"/>
    <w:rsid w:val="00471F5E"/>
    <w:rsid w:val="0047293F"/>
    <w:rsid w:val="00472C4C"/>
    <w:rsid w:val="004732F2"/>
    <w:rsid w:val="00473309"/>
    <w:rsid w:val="0047333C"/>
    <w:rsid w:val="004733AA"/>
    <w:rsid w:val="00473B36"/>
    <w:rsid w:val="00473BEB"/>
    <w:rsid w:val="00474139"/>
    <w:rsid w:val="0047414B"/>
    <w:rsid w:val="00474A63"/>
    <w:rsid w:val="00474FC2"/>
    <w:rsid w:val="004758B5"/>
    <w:rsid w:val="00475B91"/>
    <w:rsid w:val="00475BED"/>
    <w:rsid w:val="00475ED4"/>
    <w:rsid w:val="004766D8"/>
    <w:rsid w:val="00476F4D"/>
    <w:rsid w:val="00477044"/>
    <w:rsid w:val="00477A98"/>
    <w:rsid w:val="00477CA2"/>
    <w:rsid w:val="004800A5"/>
    <w:rsid w:val="004800D9"/>
    <w:rsid w:val="00480492"/>
    <w:rsid w:val="00480831"/>
    <w:rsid w:val="00480988"/>
    <w:rsid w:val="00480C26"/>
    <w:rsid w:val="00481161"/>
    <w:rsid w:val="00481182"/>
    <w:rsid w:val="00481186"/>
    <w:rsid w:val="004817CA"/>
    <w:rsid w:val="00481A6B"/>
    <w:rsid w:val="00481BAF"/>
    <w:rsid w:val="00481F3B"/>
    <w:rsid w:val="004820F9"/>
    <w:rsid w:val="004821B5"/>
    <w:rsid w:val="00482314"/>
    <w:rsid w:val="00482686"/>
    <w:rsid w:val="00482912"/>
    <w:rsid w:val="00482A50"/>
    <w:rsid w:val="00482AF5"/>
    <w:rsid w:val="0048320B"/>
    <w:rsid w:val="00483521"/>
    <w:rsid w:val="00483761"/>
    <w:rsid w:val="004839A7"/>
    <w:rsid w:val="00484359"/>
    <w:rsid w:val="004843B5"/>
    <w:rsid w:val="00484439"/>
    <w:rsid w:val="0048457B"/>
    <w:rsid w:val="00484626"/>
    <w:rsid w:val="004848A7"/>
    <w:rsid w:val="00484953"/>
    <w:rsid w:val="00484972"/>
    <w:rsid w:val="004849A8"/>
    <w:rsid w:val="00484A0B"/>
    <w:rsid w:val="00484FC6"/>
    <w:rsid w:val="004852E6"/>
    <w:rsid w:val="0048546B"/>
    <w:rsid w:val="00485AF1"/>
    <w:rsid w:val="00485E13"/>
    <w:rsid w:val="00485E94"/>
    <w:rsid w:val="004861D6"/>
    <w:rsid w:val="004861E5"/>
    <w:rsid w:val="004862BE"/>
    <w:rsid w:val="00486904"/>
    <w:rsid w:val="00486B03"/>
    <w:rsid w:val="00486D67"/>
    <w:rsid w:val="004873F1"/>
    <w:rsid w:val="0048744F"/>
    <w:rsid w:val="004874CA"/>
    <w:rsid w:val="0048785B"/>
    <w:rsid w:val="0049053B"/>
    <w:rsid w:val="004906E5"/>
    <w:rsid w:val="00490DBD"/>
    <w:rsid w:val="00491062"/>
    <w:rsid w:val="004915CC"/>
    <w:rsid w:val="0049161F"/>
    <w:rsid w:val="00491DB9"/>
    <w:rsid w:val="004926F6"/>
    <w:rsid w:val="004929EA"/>
    <w:rsid w:val="00492B46"/>
    <w:rsid w:val="00492E55"/>
    <w:rsid w:val="00492E77"/>
    <w:rsid w:val="00492F23"/>
    <w:rsid w:val="004931C9"/>
    <w:rsid w:val="00493333"/>
    <w:rsid w:val="0049357C"/>
    <w:rsid w:val="0049381A"/>
    <w:rsid w:val="004939FC"/>
    <w:rsid w:val="00493A72"/>
    <w:rsid w:val="00493B26"/>
    <w:rsid w:val="00493C29"/>
    <w:rsid w:val="00493D37"/>
    <w:rsid w:val="00493D40"/>
    <w:rsid w:val="00493FE9"/>
    <w:rsid w:val="00494112"/>
    <w:rsid w:val="00494547"/>
    <w:rsid w:val="0049459A"/>
    <w:rsid w:val="0049467E"/>
    <w:rsid w:val="004949EE"/>
    <w:rsid w:val="004949F9"/>
    <w:rsid w:val="00494AA2"/>
    <w:rsid w:val="00494C0A"/>
    <w:rsid w:val="00494C71"/>
    <w:rsid w:val="00494E08"/>
    <w:rsid w:val="00495035"/>
    <w:rsid w:val="004953C2"/>
    <w:rsid w:val="00495648"/>
    <w:rsid w:val="00495A7E"/>
    <w:rsid w:val="00495C09"/>
    <w:rsid w:val="00495DDF"/>
    <w:rsid w:val="00495E28"/>
    <w:rsid w:val="004961AD"/>
    <w:rsid w:val="004963DE"/>
    <w:rsid w:val="004964C8"/>
    <w:rsid w:val="00496564"/>
    <w:rsid w:val="004967AF"/>
    <w:rsid w:val="00496A20"/>
    <w:rsid w:val="00496C3C"/>
    <w:rsid w:val="00496D62"/>
    <w:rsid w:val="004973A6"/>
    <w:rsid w:val="0049791E"/>
    <w:rsid w:val="004979FB"/>
    <w:rsid w:val="00497D65"/>
    <w:rsid w:val="00497E86"/>
    <w:rsid w:val="00497F0E"/>
    <w:rsid w:val="00497FA4"/>
    <w:rsid w:val="004A054B"/>
    <w:rsid w:val="004A0604"/>
    <w:rsid w:val="004A0BE0"/>
    <w:rsid w:val="004A1406"/>
    <w:rsid w:val="004A14B7"/>
    <w:rsid w:val="004A1869"/>
    <w:rsid w:val="004A18B0"/>
    <w:rsid w:val="004A231F"/>
    <w:rsid w:val="004A2939"/>
    <w:rsid w:val="004A2BDF"/>
    <w:rsid w:val="004A2CDD"/>
    <w:rsid w:val="004A2F58"/>
    <w:rsid w:val="004A32E6"/>
    <w:rsid w:val="004A33F1"/>
    <w:rsid w:val="004A3405"/>
    <w:rsid w:val="004A39EF"/>
    <w:rsid w:val="004A3CC3"/>
    <w:rsid w:val="004A3CE4"/>
    <w:rsid w:val="004A3FF6"/>
    <w:rsid w:val="004A4021"/>
    <w:rsid w:val="004A4049"/>
    <w:rsid w:val="004A4096"/>
    <w:rsid w:val="004A4372"/>
    <w:rsid w:val="004A4667"/>
    <w:rsid w:val="004A4997"/>
    <w:rsid w:val="004A4D34"/>
    <w:rsid w:val="004A4EE3"/>
    <w:rsid w:val="004A4F7B"/>
    <w:rsid w:val="004A531C"/>
    <w:rsid w:val="004A5806"/>
    <w:rsid w:val="004A589A"/>
    <w:rsid w:val="004A59FF"/>
    <w:rsid w:val="004A60BF"/>
    <w:rsid w:val="004A6327"/>
    <w:rsid w:val="004A6521"/>
    <w:rsid w:val="004A655D"/>
    <w:rsid w:val="004A65AC"/>
    <w:rsid w:val="004A686C"/>
    <w:rsid w:val="004A68FE"/>
    <w:rsid w:val="004A6BA4"/>
    <w:rsid w:val="004A6BFB"/>
    <w:rsid w:val="004A6CE6"/>
    <w:rsid w:val="004A6FF1"/>
    <w:rsid w:val="004A706B"/>
    <w:rsid w:val="004A70E0"/>
    <w:rsid w:val="004A7274"/>
    <w:rsid w:val="004A732F"/>
    <w:rsid w:val="004A73AA"/>
    <w:rsid w:val="004A759D"/>
    <w:rsid w:val="004A7645"/>
    <w:rsid w:val="004A78AE"/>
    <w:rsid w:val="004A798D"/>
    <w:rsid w:val="004A7F36"/>
    <w:rsid w:val="004B0193"/>
    <w:rsid w:val="004B0205"/>
    <w:rsid w:val="004B0772"/>
    <w:rsid w:val="004B07DD"/>
    <w:rsid w:val="004B1144"/>
    <w:rsid w:val="004B13BF"/>
    <w:rsid w:val="004B1562"/>
    <w:rsid w:val="004B1684"/>
    <w:rsid w:val="004B1A62"/>
    <w:rsid w:val="004B201D"/>
    <w:rsid w:val="004B20FF"/>
    <w:rsid w:val="004B22CC"/>
    <w:rsid w:val="004B2451"/>
    <w:rsid w:val="004B2622"/>
    <w:rsid w:val="004B2A35"/>
    <w:rsid w:val="004B2E2D"/>
    <w:rsid w:val="004B2FAC"/>
    <w:rsid w:val="004B396E"/>
    <w:rsid w:val="004B3A12"/>
    <w:rsid w:val="004B3A16"/>
    <w:rsid w:val="004B4178"/>
    <w:rsid w:val="004B4316"/>
    <w:rsid w:val="004B45B4"/>
    <w:rsid w:val="004B4772"/>
    <w:rsid w:val="004B478E"/>
    <w:rsid w:val="004B48BF"/>
    <w:rsid w:val="004B48EB"/>
    <w:rsid w:val="004B4A43"/>
    <w:rsid w:val="004B4DD2"/>
    <w:rsid w:val="004B51FB"/>
    <w:rsid w:val="004B5227"/>
    <w:rsid w:val="004B5CF0"/>
    <w:rsid w:val="004B5E23"/>
    <w:rsid w:val="004B5F1D"/>
    <w:rsid w:val="004B611B"/>
    <w:rsid w:val="004B6241"/>
    <w:rsid w:val="004B63EA"/>
    <w:rsid w:val="004B63EE"/>
    <w:rsid w:val="004B64C7"/>
    <w:rsid w:val="004B6B04"/>
    <w:rsid w:val="004B6C11"/>
    <w:rsid w:val="004B703B"/>
    <w:rsid w:val="004B723E"/>
    <w:rsid w:val="004B72DB"/>
    <w:rsid w:val="004B73B2"/>
    <w:rsid w:val="004B7795"/>
    <w:rsid w:val="004B7982"/>
    <w:rsid w:val="004B7A6B"/>
    <w:rsid w:val="004B7CC5"/>
    <w:rsid w:val="004C017B"/>
    <w:rsid w:val="004C0240"/>
    <w:rsid w:val="004C073D"/>
    <w:rsid w:val="004C092A"/>
    <w:rsid w:val="004C1041"/>
    <w:rsid w:val="004C11E5"/>
    <w:rsid w:val="004C1267"/>
    <w:rsid w:val="004C168D"/>
    <w:rsid w:val="004C1925"/>
    <w:rsid w:val="004C1A1A"/>
    <w:rsid w:val="004C2538"/>
    <w:rsid w:val="004C27D1"/>
    <w:rsid w:val="004C29E3"/>
    <w:rsid w:val="004C2A50"/>
    <w:rsid w:val="004C2AFF"/>
    <w:rsid w:val="004C2C14"/>
    <w:rsid w:val="004C2D0A"/>
    <w:rsid w:val="004C3101"/>
    <w:rsid w:val="004C32D1"/>
    <w:rsid w:val="004C3492"/>
    <w:rsid w:val="004C34CB"/>
    <w:rsid w:val="004C39C7"/>
    <w:rsid w:val="004C4A1A"/>
    <w:rsid w:val="004C4E81"/>
    <w:rsid w:val="004C4ED4"/>
    <w:rsid w:val="004C51A6"/>
    <w:rsid w:val="004C58D9"/>
    <w:rsid w:val="004C5C31"/>
    <w:rsid w:val="004C6000"/>
    <w:rsid w:val="004C6335"/>
    <w:rsid w:val="004C65CC"/>
    <w:rsid w:val="004C6B8D"/>
    <w:rsid w:val="004C73AC"/>
    <w:rsid w:val="004C7B76"/>
    <w:rsid w:val="004C7C93"/>
    <w:rsid w:val="004D023F"/>
    <w:rsid w:val="004D04A6"/>
    <w:rsid w:val="004D094C"/>
    <w:rsid w:val="004D0EAE"/>
    <w:rsid w:val="004D0FDB"/>
    <w:rsid w:val="004D1445"/>
    <w:rsid w:val="004D1885"/>
    <w:rsid w:val="004D1B08"/>
    <w:rsid w:val="004D1DE1"/>
    <w:rsid w:val="004D2280"/>
    <w:rsid w:val="004D2328"/>
    <w:rsid w:val="004D2537"/>
    <w:rsid w:val="004D2777"/>
    <w:rsid w:val="004D28AD"/>
    <w:rsid w:val="004D28FA"/>
    <w:rsid w:val="004D2909"/>
    <w:rsid w:val="004D2997"/>
    <w:rsid w:val="004D2D88"/>
    <w:rsid w:val="004D3A64"/>
    <w:rsid w:val="004D3A6E"/>
    <w:rsid w:val="004D3B20"/>
    <w:rsid w:val="004D3B51"/>
    <w:rsid w:val="004D3C3D"/>
    <w:rsid w:val="004D3DF9"/>
    <w:rsid w:val="004D3E4C"/>
    <w:rsid w:val="004D4D9B"/>
    <w:rsid w:val="004D536D"/>
    <w:rsid w:val="004D584A"/>
    <w:rsid w:val="004D58A5"/>
    <w:rsid w:val="004D61E3"/>
    <w:rsid w:val="004D6744"/>
    <w:rsid w:val="004D6923"/>
    <w:rsid w:val="004D6BCA"/>
    <w:rsid w:val="004D6C16"/>
    <w:rsid w:val="004D7036"/>
    <w:rsid w:val="004D70F2"/>
    <w:rsid w:val="004D7172"/>
    <w:rsid w:val="004D775D"/>
    <w:rsid w:val="004D7924"/>
    <w:rsid w:val="004D7B3A"/>
    <w:rsid w:val="004D7B78"/>
    <w:rsid w:val="004D7E4B"/>
    <w:rsid w:val="004E02F3"/>
    <w:rsid w:val="004E03CE"/>
    <w:rsid w:val="004E0486"/>
    <w:rsid w:val="004E04A4"/>
    <w:rsid w:val="004E06FC"/>
    <w:rsid w:val="004E06FD"/>
    <w:rsid w:val="004E09B2"/>
    <w:rsid w:val="004E0C15"/>
    <w:rsid w:val="004E0F65"/>
    <w:rsid w:val="004E10D5"/>
    <w:rsid w:val="004E11C0"/>
    <w:rsid w:val="004E1BC4"/>
    <w:rsid w:val="004E22F1"/>
    <w:rsid w:val="004E2445"/>
    <w:rsid w:val="004E253C"/>
    <w:rsid w:val="004E326C"/>
    <w:rsid w:val="004E391D"/>
    <w:rsid w:val="004E3B89"/>
    <w:rsid w:val="004E4077"/>
    <w:rsid w:val="004E4266"/>
    <w:rsid w:val="004E43B7"/>
    <w:rsid w:val="004E44A6"/>
    <w:rsid w:val="004E4D2E"/>
    <w:rsid w:val="004E4F8C"/>
    <w:rsid w:val="004E4FAB"/>
    <w:rsid w:val="004E5134"/>
    <w:rsid w:val="004E592F"/>
    <w:rsid w:val="004E5AC7"/>
    <w:rsid w:val="004E5E4C"/>
    <w:rsid w:val="004E627D"/>
    <w:rsid w:val="004E6928"/>
    <w:rsid w:val="004E6969"/>
    <w:rsid w:val="004E6B67"/>
    <w:rsid w:val="004E6C98"/>
    <w:rsid w:val="004E6F45"/>
    <w:rsid w:val="004E7722"/>
    <w:rsid w:val="004E79C4"/>
    <w:rsid w:val="004F0049"/>
    <w:rsid w:val="004F06FC"/>
    <w:rsid w:val="004F0A59"/>
    <w:rsid w:val="004F0CC2"/>
    <w:rsid w:val="004F0E1B"/>
    <w:rsid w:val="004F10DE"/>
    <w:rsid w:val="004F1501"/>
    <w:rsid w:val="004F172F"/>
    <w:rsid w:val="004F1C5A"/>
    <w:rsid w:val="004F21DC"/>
    <w:rsid w:val="004F22F1"/>
    <w:rsid w:val="004F2427"/>
    <w:rsid w:val="004F24C5"/>
    <w:rsid w:val="004F28D9"/>
    <w:rsid w:val="004F298C"/>
    <w:rsid w:val="004F29EC"/>
    <w:rsid w:val="004F2AD1"/>
    <w:rsid w:val="004F2F93"/>
    <w:rsid w:val="004F3156"/>
    <w:rsid w:val="004F32AB"/>
    <w:rsid w:val="004F3754"/>
    <w:rsid w:val="004F37C8"/>
    <w:rsid w:val="004F3819"/>
    <w:rsid w:val="004F3928"/>
    <w:rsid w:val="004F3BAF"/>
    <w:rsid w:val="004F3C00"/>
    <w:rsid w:val="004F3E3A"/>
    <w:rsid w:val="004F400A"/>
    <w:rsid w:val="004F43E4"/>
    <w:rsid w:val="004F446A"/>
    <w:rsid w:val="004F47F8"/>
    <w:rsid w:val="004F483D"/>
    <w:rsid w:val="004F4932"/>
    <w:rsid w:val="004F4DE2"/>
    <w:rsid w:val="004F53C2"/>
    <w:rsid w:val="004F5465"/>
    <w:rsid w:val="004F5639"/>
    <w:rsid w:val="004F565C"/>
    <w:rsid w:val="004F5813"/>
    <w:rsid w:val="004F5A95"/>
    <w:rsid w:val="004F5B8F"/>
    <w:rsid w:val="004F5C33"/>
    <w:rsid w:val="004F6477"/>
    <w:rsid w:val="004F6FBC"/>
    <w:rsid w:val="004F72FE"/>
    <w:rsid w:val="004F73CD"/>
    <w:rsid w:val="004F752C"/>
    <w:rsid w:val="004F75DA"/>
    <w:rsid w:val="004F76BB"/>
    <w:rsid w:val="004F77CF"/>
    <w:rsid w:val="004F79C6"/>
    <w:rsid w:val="004F79EE"/>
    <w:rsid w:val="004F7AAA"/>
    <w:rsid w:val="0050040A"/>
    <w:rsid w:val="005008BE"/>
    <w:rsid w:val="005009F9"/>
    <w:rsid w:val="00500C26"/>
    <w:rsid w:val="00500C8F"/>
    <w:rsid w:val="00500F35"/>
    <w:rsid w:val="005012F1"/>
    <w:rsid w:val="0050177C"/>
    <w:rsid w:val="005018A3"/>
    <w:rsid w:val="00502389"/>
    <w:rsid w:val="0050242B"/>
    <w:rsid w:val="00502437"/>
    <w:rsid w:val="00502495"/>
    <w:rsid w:val="0050277C"/>
    <w:rsid w:val="00502A59"/>
    <w:rsid w:val="00502C96"/>
    <w:rsid w:val="00502E6B"/>
    <w:rsid w:val="0050324E"/>
    <w:rsid w:val="00503624"/>
    <w:rsid w:val="005038A6"/>
    <w:rsid w:val="00503A18"/>
    <w:rsid w:val="00503C98"/>
    <w:rsid w:val="00504068"/>
    <w:rsid w:val="005043C4"/>
    <w:rsid w:val="005044EF"/>
    <w:rsid w:val="005048F9"/>
    <w:rsid w:val="005049C0"/>
    <w:rsid w:val="00504A9C"/>
    <w:rsid w:val="00504E9E"/>
    <w:rsid w:val="00504F0A"/>
    <w:rsid w:val="00505154"/>
    <w:rsid w:val="00505188"/>
    <w:rsid w:val="005052D7"/>
    <w:rsid w:val="00505511"/>
    <w:rsid w:val="005056BF"/>
    <w:rsid w:val="005056DB"/>
    <w:rsid w:val="00505C48"/>
    <w:rsid w:val="00505CAD"/>
    <w:rsid w:val="00505CC9"/>
    <w:rsid w:val="0050646A"/>
    <w:rsid w:val="005064EB"/>
    <w:rsid w:val="00506506"/>
    <w:rsid w:val="00506592"/>
    <w:rsid w:val="00506639"/>
    <w:rsid w:val="00506665"/>
    <w:rsid w:val="005067F2"/>
    <w:rsid w:val="00506B8C"/>
    <w:rsid w:val="00506BB8"/>
    <w:rsid w:val="00506DBE"/>
    <w:rsid w:val="00506FE9"/>
    <w:rsid w:val="005070FF"/>
    <w:rsid w:val="00507327"/>
    <w:rsid w:val="00507483"/>
    <w:rsid w:val="0050759F"/>
    <w:rsid w:val="00507961"/>
    <w:rsid w:val="005079C1"/>
    <w:rsid w:val="0051029A"/>
    <w:rsid w:val="00510E41"/>
    <w:rsid w:val="00511458"/>
    <w:rsid w:val="0051157A"/>
    <w:rsid w:val="00511659"/>
    <w:rsid w:val="00511C0F"/>
    <w:rsid w:val="00511CFC"/>
    <w:rsid w:val="00511DEE"/>
    <w:rsid w:val="00511FC9"/>
    <w:rsid w:val="0051201B"/>
    <w:rsid w:val="00512905"/>
    <w:rsid w:val="00512A97"/>
    <w:rsid w:val="00512E29"/>
    <w:rsid w:val="00513495"/>
    <w:rsid w:val="00513AD8"/>
    <w:rsid w:val="00513BC0"/>
    <w:rsid w:val="00513CC3"/>
    <w:rsid w:val="00513E6E"/>
    <w:rsid w:val="00513F96"/>
    <w:rsid w:val="00514104"/>
    <w:rsid w:val="00514341"/>
    <w:rsid w:val="00514454"/>
    <w:rsid w:val="005144EC"/>
    <w:rsid w:val="0051476A"/>
    <w:rsid w:val="00514B13"/>
    <w:rsid w:val="00514BF3"/>
    <w:rsid w:val="0051523E"/>
    <w:rsid w:val="005152FE"/>
    <w:rsid w:val="00515B94"/>
    <w:rsid w:val="00515BE3"/>
    <w:rsid w:val="00515C98"/>
    <w:rsid w:val="00515CE4"/>
    <w:rsid w:val="00515E33"/>
    <w:rsid w:val="00515E5E"/>
    <w:rsid w:val="0051611F"/>
    <w:rsid w:val="005166E6"/>
    <w:rsid w:val="00516DAE"/>
    <w:rsid w:val="0051709E"/>
    <w:rsid w:val="00517398"/>
    <w:rsid w:val="005173FA"/>
    <w:rsid w:val="00517486"/>
    <w:rsid w:val="0051762B"/>
    <w:rsid w:val="00517D58"/>
    <w:rsid w:val="005200C9"/>
    <w:rsid w:val="00520143"/>
    <w:rsid w:val="0052017D"/>
    <w:rsid w:val="00520322"/>
    <w:rsid w:val="00520660"/>
    <w:rsid w:val="00520B07"/>
    <w:rsid w:val="00520F4E"/>
    <w:rsid w:val="005215F6"/>
    <w:rsid w:val="00521A8C"/>
    <w:rsid w:val="00521C35"/>
    <w:rsid w:val="00521C4F"/>
    <w:rsid w:val="005222B6"/>
    <w:rsid w:val="005227D4"/>
    <w:rsid w:val="00522ECB"/>
    <w:rsid w:val="00522FC1"/>
    <w:rsid w:val="005230A0"/>
    <w:rsid w:val="00523114"/>
    <w:rsid w:val="005238E8"/>
    <w:rsid w:val="00523B1C"/>
    <w:rsid w:val="00523C38"/>
    <w:rsid w:val="00523F05"/>
    <w:rsid w:val="0052448F"/>
    <w:rsid w:val="0052461D"/>
    <w:rsid w:val="005246E9"/>
    <w:rsid w:val="0052497E"/>
    <w:rsid w:val="00524AA8"/>
    <w:rsid w:val="00524BED"/>
    <w:rsid w:val="00524CF2"/>
    <w:rsid w:val="00524E8A"/>
    <w:rsid w:val="00524EC2"/>
    <w:rsid w:val="00525B9E"/>
    <w:rsid w:val="00526109"/>
    <w:rsid w:val="005262FC"/>
    <w:rsid w:val="005263A2"/>
    <w:rsid w:val="0052673C"/>
    <w:rsid w:val="0052692A"/>
    <w:rsid w:val="00526F6C"/>
    <w:rsid w:val="00527F12"/>
    <w:rsid w:val="005304A2"/>
    <w:rsid w:val="00530532"/>
    <w:rsid w:val="00530763"/>
    <w:rsid w:val="00530BA4"/>
    <w:rsid w:val="005310EA"/>
    <w:rsid w:val="0053118E"/>
    <w:rsid w:val="0053128F"/>
    <w:rsid w:val="005313A7"/>
    <w:rsid w:val="0053145B"/>
    <w:rsid w:val="0053150C"/>
    <w:rsid w:val="005317C3"/>
    <w:rsid w:val="00531DC6"/>
    <w:rsid w:val="00531FD4"/>
    <w:rsid w:val="005326C1"/>
    <w:rsid w:val="005334A2"/>
    <w:rsid w:val="005334C8"/>
    <w:rsid w:val="0053368C"/>
    <w:rsid w:val="005338D1"/>
    <w:rsid w:val="00533EFF"/>
    <w:rsid w:val="005343E8"/>
    <w:rsid w:val="005346BF"/>
    <w:rsid w:val="00534921"/>
    <w:rsid w:val="00534C1F"/>
    <w:rsid w:val="00535571"/>
    <w:rsid w:val="00535D8F"/>
    <w:rsid w:val="005369A7"/>
    <w:rsid w:val="00536BF5"/>
    <w:rsid w:val="00537BA1"/>
    <w:rsid w:val="00537C96"/>
    <w:rsid w:val="00540438"/>
    <w:rsid w:val="00540DD8"/>
    <w:rsid w:val="005410E3"/>
    <w:rsid w:val="00541102"/>
    <w:rsid w:val="0054139C"/>
    <w:rsid w:val="00541BA7"/>
    <w:rsid w:val="0054205C"/>
    <w:rsid w:val="005421A9"/>
    <w:rsid w:val="005421B9"/>
    <w:rsid w:val="005422EA"/>
    <w:rsid w:val="00542411"/>
    <w:rsid w:val="0054244D"/>
    <w:rsid w:val="00542491"/>
    <w:rsid w:val="005424DE"/>
    <w:rsid w:val="005426FF"/>
    <w:rsid w:val="00542B64"/>
    <w:rsid w:val="00542D77"/>
    <w:rsid w:val="005430A2"/>
    <w:rsid w:val="00543406"/>
    <w:rsid w:val="005434EE"/>
    <w:rsid w:val="005436AC"/>
    <w:rsid w:val="00543992"/>
    <w:rsid w:val="00543B39"/>
    <w:rsid w:val="00543B58"/>
    <w:rsid w:val="00543D05"/>
    <w:rsid w:val="005442D5"/>
    <w:rsid w:val="00544310"/>
    <w:rsid w:val="0054448F"/>
    <w:rsid w:val="00544500"/>
    <w:rsid w:val="00544F14"/>
    <w:rsid w:val="00544FCC"/>
    <w:rsid w:val="00544FD8"/>
    <w:rsid w:val="005455C8"/>
    <w:rsid w:val="0054560B"/>
    <w:rsid w:val="0054577D"/>
    <w:rsid w:val="00545B51"/>
    <w:rsid w:val="005460BB"/>
    <w:rsid w:val="0054621B"/>
    <w:rsid w:val="005465C4"/>
    <w:rsid w:val="00546840"/>
    <w:rsid w:val="0054688C"/>
    <w:rsid w:val="00546B14"/>
    <w:rsid w:val="00546CA2"/>
    <w:rsid w:val="00546F1E"/>
    <w:rsid w:val="00547260"/>
    <w:rsid w:val="0054795A"/>
    <w:rsid w:val="00550099"/>
    <w:rsid w:val="00550160"/>
    <w:rsid w:val="0055070E"/>
    <w:rsid w:val="00550725"/>
    <w:rsid w:val="00550DC1"/>
    <w:rsid w:val="0055161B"/>
    <w:rsid w:val="005516B9"/>
    <w:rsid w:val="00551C7D"/>
    <w:rsid w:val="00551EBB"/>
    <w:rsid w:val="00552831"/>
    <w:rsid w:val="0055291D"/>
    <w:rsid w:val="00552A7E"/>
    <w:rsid w:val="00552C49"/>
    <w:rsid w:val="00552E73"/>
    <w:rsid w:val="0055334B"/>
    <w:rsid w:val="00553418"/>
    <w:rsid w:val="0055348F"/>
    <w:rsid w:val="005534A4"/>
    <w:rsid w:val="005534B3"/>
    <w:rsid w:val="00553947"/>
    <w:rsid w:val="00553F9B"/>
    <w:rsid w:val="00554070"/>
    <w:rsid w:val="005541DA"/>
    <w:rsid w:val="00554477"/>
    <w:rsid w:val="005548E3"/>
    <w:rsid w:val="00554B4B"/>
    <w:rsid w:val="00554C03"/>
    <w:rsid w:val="00554D2A"/>
    <w:rsid w:val="00554FF4"/>
    <w:rsid w:val="0055505D"/>
    <w:rsid w:val="00555348"/>
    <w:rsid w:val="00555718"/>
    <w:rsid w:val="00555869"/>
    <w:rsid w:val="005559B3"/>
    <w:rsid w:val="00555A1B"/>
    <w:rsid w:val="00555BCB"/>
    <w:rsid w:val="00555E33"/>
    <w:rsid w:val="005560C9"/>
    <w:rsid w:val="00556228"/>
    <w:rsid w:val="005568B0"/>
    <w:rsid w:val="00556B68"/>
    <w:rsid w:val="00556C6F"/>
    <w:rsid w:val="00556D31"/>
    <w:rsid w:val="00556DC2"/>
    <w:rsid w:val="00556F12"/>
    <w:rsid w:val="00557085"/>
    <w:rsid w:val="005573B7"/>
    <w:rsid w:val="005573DD"/>
    <w:rsid w:val="005574FE"/>
    <w:rsid w:val="0055764B"/>
    <w:rsid w:val="005602F0"/>
    <w:rsid w:val="00560609"/>
    <w:rsid w:val="005619CB"/>
    <w:rsid w:val="00561E9F"/>
    <w:rsid w:val="00561FB2"/>
    <w:rsid w:val="00562022"/>
    <w:rsid w:val="00562502"/>
    <w:rsid w:val="00562E66"/>
    <w:rsid w:val="0056307F"/>
    <w:rsid w:val="00563659"/>
    <w:rsid w:val="00563759"/>
    <w:rsid w:val="005639AD"/>
    <w:rsid w:val="0056449A"/>
    <w:rsid w:val="00564649"/>
    <w:rsid w:val="005647B9"/>
    <w:rsid w:val="005648E1"/>
    <w:rsid w:val="005649CC"/>
    <w:rsid w:val="00564CE1"/>
    <w:rsid w:val="00564DD7"/>
    <w:rsid w:val="00565226"/>
    <w:rsid w:val="00565536"/>
    <w:rsid w:val="005655CC"/>
    <w:rsid w:val="005659B0"/>
    <w:rsid w:val="00565F57"/>
    <w:rsid w:val="00565FFE"/>
    <w:rsid w:val="0056655A"/>
    <w:rsid w:val="0056667A"/>
    <w:rsid w:val="00566740"/>
    <w:rsid w:val="005667DA"/>
    <w:rsid w:val="0056705E"/>
    <w:rsid w:val="005671B8"/>
    <w:rsid w:val="005675C7"/>
    <w:rsid w:val="00567674"/>
    <w:rsid w:val="00567686"/>
    <w:rsid w:val="005677FF"/>
    <w:rsid w:val="00567CE0"/>
    <w:rsid w:val="00567CE6"/>
    <w:rsid w:val="005708A1"/>
    <w:rsid w:val="00570E0C"/>
    <w:rsid w:val="0057111B"/>
    <w:rsid w:val="00571400"/>
    <w:rsid w:val="00571508"/>
    <w:rsid w:val="00571B96"/>
    <w:rsid w:val="00571F68"/>
    <w:rsid w:val="00571FE4"/>
    <w:rsid w:val="0057203C"/>
    <w:rsid w:val="005721A3"/>
    <w:rsid w:val="00572334"/>
    <w:rsid w:val="00572583"/>
    <w:rsid w:val="00572896"/>
    <w:rsid w:val="00572ED8"/>
    <w:rsid w:val="005730BF"/>
    <w:rsid w:val="005731A9"/>
    <w:rsid w:val="00573587"/>
    <w:rsid w:val="00573883"/>
    <w:rsid w:val="00573C1D"/>
    <w:rsid w:val="005740B6"/>
    <w:rsid w:val="005748CA"/>
    <w:rsid w:val="00574C47"/>
    <w:rsid w:val="005750D4"/>
    <w:rsid w:val="00575262"/>
    <w:rsid w:val="005758D7"/>
    <w:rsid w:val="0057598B"/>
    <w:rsid w:val="00575B1D"/>
    <w:rsid w:val="00575C8D"/>
    <w:rsid w:val="005760C2"/>
    <w:rsid w:val="0057651E"/>
    <w:rsid w:val="00576724"/>
    <w:rsid w:val="005768E3"/>
    <w:rsid w:val="0057691C"/>
    <w:rsid w:val="00576D87"/>
    <w:rsid w:val="0057747E"/>
    <w:rsid w:val="00577A36"/>
    <w:rsid w:val="00577B16"/>
    <w:rsid w:val="00577EF6"/>
    <w:rsid w:val="00577FF5"/>
    <w:rsid w:val="00580147"/>
    <w:rsid w:val="005801D3"/>
    <w:rsid w:val="00581178"/>
    <w:rsid w:val="00581606"/>
    <w:rsid w:val="00581CFE"/>
    <w:rsid w:val="00582019"/>
    <w:rsid w:val="00582256"/>
    <w:rsid w:val="005823D6"/>
    <w:rsid w:val="0058298A"/>
    <w:rsid w:val="00582C94"/>
    <w:rsid w:val="00582DEC"/>
    <w:rsid w:val="00582F70"/>
    <w:rsid w:val="005831DF"/>
    <w:rsid w:val="0058343E"/>
    <w:rsid w:val="0058369E"/>
    <w:rsid w:val="005836BE"/>
    <w:rsid w:val="00583811"/>
    <w:rsid w:val="00583871"/>
    <w:rsid w:val="00583A24"/>
    <w:rsid w:val="00583A4A"/>
    <w:rsid w:val="00584089"/>
    <w:rsid w:val="0058475E"/>
    <w:rsid w:val="00585AAF"/>
    <w:rsid w:val="00585EBB"/>
    <w:rsid w:val="00586404"/>
    <w:rsid w:val="0058656D"/>
    <w:rsid w:val="005865FF"/>
    <w:rsid w:val="00586983"/>
    <w:rsid w:val="00587064"/>
    <w:rsid w:val="005870A3"/>
    <w:rsid w:val="00587145"/>
    <w:rsid w:val="005871B4"/>
    <w:rsid w:val="00587350"/>
    <w:rsid w:val="00587485"/>
    <w:rsid w:val="005874B6"/>
    <w:rsid w:val="005874F7"/>
    <w:rsid w:val="00587C33"/>
    <w:rsid w:val="005901D6"/>
    <w:rsid w:val="00590293"/>
    <w:rsid w:val="00590630"/>
    <w:rsid w:val="005907E2"/>
    <w:rsid w:val="00590AE0"/>
    <w:rsid w:val="005916D7"/>
    <w:rsid w:val="0059185B"/>
    <w:rsid w:val="005919DF"/>
    <w:rsid w:val="00591A2A"/>
    <w:rsid w:val="0059208E"/>
    <w:rsid w:val="005920AD"/>
    <w:rsid w:val="00592416"/>
    <w:rsid w:val="00592B0B"/>
    <w:rsid w:val="00592CD2"/>
    <w:rsid w:val="005931F6"/>
    <w:rsid w:val="00593542"/>
    <w:rsid w:val="0059363D"/>
    <w:rsid w:val="0059372F"/>
    <w:rsid w:val="005937B5"/>
    <w:rsid w:val="00593996"/>
    <w:rsid w:val="00593D4C"/>
    <w:rsid w:val="00593F7F"/>
    <w:rsid w:val="0059432E"/>
    <w:rsid w:val="0059439A"/>
    <w:rsid w:val="0059442C"/>
    <w:rsid w:val="00594481"/>
    <w:rsid w:val="005944D5"/>
    <w:rsid w:val="00594802"/>
    <w:rsid w:val="00594812"/>
    <w:rsid w:val="00594D5C"/>
    <w:rsid w:val="00594F55"/>
    <w:rsid w:val="00594F98"/>
    <w:rsid w:val="0059517E"/>
    <w:rsid w:val="005954CC"/>
    <w:rsid w:val="00595AFE"/>
    <w:rsid w:val="00595C65"/>
    <w:rsid w:val="00595E1E"/>
    <w:rsid w:val="00595E7F"/>
    <w:rsid w:val="00596130"/>
    <w:rsid w:val="0059643C"/>
    <w:rsid w:val="005965F0"/>
    <w:rsid w:val="005966BB"/>
    <w:rsid w:val="0059688E"/>
    <w:rsid w:val="00596D60"/>
    <w:rsid w:val="00597D2E"/>
    <w:rsid w:val="005A0245"/>
    <w:rsid w:val="005A039E"/>
    <w:rsid w:val="005A0755"/>
    <w:rsid w:val="005A08A6"/>
    <w:rsid w:val="005A096F"/>
    <w:rsid w:val="005A0C73"/>
    <w:rsid w:val="005A0F58"/>
    <w:rsid w:val="005A1017"/>
    <w:rsid w:val="005A1484"/>
    <w:rsid w:val="005A1504"/>
    <w:rsid w:val="005A15BF"/>
    <w:rsid w:val="005A1719"/>
    <w:rsid w:val="005A2025"/>
    <w:rsid w:val="005A2369"/>
    <w:rsid w:val="005A268C"/>
    <w:rsid w:val="005A26A7"/>
    <w:rsid w:val="005A26AF"/>
    <w:rsid w:val="005A2885"/>
    <w:rsid w:val="005A2BCC"/>
    <w:rsid w:val="005A2CE6"/>
    <w:rsid w:val="005A2F1D"/>
    <w:rsid w:val="005A3168"/>
    <w:rsid w:val="005A324D"/>
    <w:rsid w:val="005A3840"/>
    <w:rsid w:val="005A3961"/>
    <w:rsid w:val="005A3C1E"/>
    <w:rsid w:val="005A3D79"/>
    <w:rsid w:val="005A402B"/>
    <w:rsid w:val="005A4715"/>
    <w:rsid w:val="005A48FE"/>
    <w:rsid w:val="005A4A8A"/>
    <w:rsid w:val="005A4E99"/>
    <w:rsid w:val="005A5027"/>
    <w:rsid w:val="005A50CD"/>
    <w:rsid w:val="005A534E"/>
    <w:rsid w:val="005A5830"/>
    <w:rsid w:val="005A5DBC"/>
    <w:rsid w:val="005A5F18"/>
    <w:rsid w:val="005A60BF"/>
    <w:rsid w:val="005A610D"/>
    <w:rsid w:val="005A6374"/>
    <w:rsid w:val="005A67C4"/>
    <w:rsid w:val="005A680D"/>
    <w:rsid w:val="005A6ACD"/>
    <w:rsid w:val="005A6E4C"/>
    <w:rsid w:val="005A7220"/>
    <w:rsid w:val="005A736B"/>
    <w:rsid w:val="005A7A0B"/>
    <w:rsid w:val="005A7A9C"/>
    <w:rsid w:val="005A7B63"/>
    <w:rsid w:val="005A7B8C"/>
    <w:rsid w:val="005B00E7"/>
    <w:rsid w:val="005B0AFA"/>
    <w:rsid w:val="005B0B1A"/>
    <w:rsid w:val="005B0C2C"/>
    <w:rsid w:val="005B0D4F"/>
    <w:rsid w:val="005B1109"/>
    <w:rsid w:val="005B15D2"/>
    <w:rsid w:val="005B1A80"/>
    <w:rsid w:val="005B1AFC"/>
    <w:rsid w:val="005B1C2B"/>
    <w:rsid w:val="005B1C4B"/>
    <w:rsid w:val="005B1C57"/>
    <w:rsid w:val="005B1D09"/>
    <w:rsid w:val="005B1DEA"/>
    <w:rsid w:val="005B1E74"/>
    <w:rsid w:val="005B1E7B"/>
    <w:rsid w:val="005B1ED8"/>
    <w:rsid w:val="005B1FBB"/>
    <w:rsid w:val="005B21E6"/>
    <w:rsid w:val="005B2306"/>
    <w:rsid w:val="005B2657"/>
    <w:rsid w:val="005B2E11"/>
    <w:rsid w:val="005B3659"/>
    <w:rsid w:val="005B3721"/>
    <w:rsid w:val="005B3813"/>
    <w:rsid w:val="005B384A"/>
    <w:rsid w:val="005B3BDD"/>
    <w:rsid w:val="005B3CD6"/>
    <w:rsid w:val="005B3D67"/>
    <w:rsid w:val="005B3EA2"/>
    <w:rsid w:val="005B423D"/>
    <w:rsid w:val="005B4B0E"/>
    <w:rsid w:val="005B516C"/>
    <w:rsid w:val="005B554F"/>
    <w:rsid w:val="005B561F"/>
    <w:rsid w:val="005B5E1E"/>
    <w:rsid w:val="005B604A"/>
    <w:rsid w:val="005B616C"/>
    <w:rsid w:val="005B64DB"/>
    <w:rsid w:val="005B67BE"/>
    <w:rsid w:val="005B6E80"/>
    <w:rsid w:val="005B725B"/>
    <w:rsid w:val="005B73D6"/>
    <w:rsid w:val="005B7572"/>
    <w:rsid w:val="005B787A"/>
    <w:rsid w:val="005B7AA4"/>
    <w:rsid w:val="005B7C27"/>
    <w:rsid w:val="005B7E17"/>
    <w:rsid w:val="005B7FD0"/>
    <w:rsid w:val="005C074D"/>
    <w:rsid w:val="005C0842"/>
    <w:rsid w:val="005C09EC"/>
    <w:rsid w:val="005C0C81"/>
    <w:rsid w:val="005C1237"/>
    <w:rsid w:val="005C127A"/>
    <w:rsid w:val="005C14B8"/>
    <w:rsid w:val="005C20F0"/>
    <w:rsid w:val="005C2335"/>
    <w:rsid w:val="005C257A"/>
    <w:rsid w:val="005C2806"/>
    <w:rsid w:val="005C30FB"/>
    <w:rsid w:val="005C32F6"/>
    <w:rsid w:val="005C3857"/>
    <w:rsid w:val="005C3B92"/>
    <w:rsid w:val="005C3C9A"/>
    <w:rsid w:val="005C40D3"/>
    <w:rsid w:val="005C41F5"/>
    <w:rsid w:val="005C431E"/>
    <w:rsid w:val="005C4753"/>
    <w:rsid w:val="005C4A19"/>
    <w:rsid w:val="005C4FCC"/>
    <w:rsid w:val="005C4FF7"/>
    <w:rsid w:val="005C507F"/>
    <w:rsid w:val="005C51A5"/>
    <w:rsid w:val="005C551B"/>
    <w:rsid w:val="005C5827"/>
    <w:rsid w:val="005C5AAB"/>
    <w:rsid w:val="005C5B11"/>
    <w:rsid w:val="005C6467"/>
    <w:rsid w:val="005C6AFE"/>
    <w:rsid w:val="005C702F"/>
    <w:rsid w:val="005C7075"/>
    <w:rsid w:val="005C732F"/>
    <w:rsid w:val="005C7629"/>
    <w:rsid w:val="005C7A05"/>
    <w:rsid w:val="005C7AAB"/>
    <w:rsid w:val="005C7B16"/>
    <w:rsid w:val="005C7BA2"/>
    <w:rsid w:val="005C7BBD"/>
    <w:rsid w:val="005D0497"/>
    <w:rsid w:val="005D0A2E"/>
    <w:rsid w:val="005D0C83"/>
    <w:rsid w:val="005D1307"/>
    <w:rsid w:val="005D1555"/>
    <w:rsid w:val="005D1693"/>
    <w:rsid w:val="005D1804"/>
    <w:rsid w:val="005D1FDE"/>
    <w:rsid w:val="005D20A6"/>
    <w:rsid w:val="005D21EE"/>
    <w:rsid w:val="005D226A"/>
    <w:rsid w:val="005D2283"/>
    <w:rsid w:val="005D23E0"/>
    <w:rsid w:val="005D28E0"/>
    <w:rsid w:val="005D2F35"/>
    <w:rsid w:val="005D2FF9"/>
    <w:rsid w:val="005D30DC"/>
    <w:rsid w:val="005D30F6"/>
    <w:rsid w:val="005D3386"/>
    <w:rsid w:val="005D33B1"/>
    <w:rsid w:val="005D3466"/>
    <w:rsid w:val="005D363D"/>
    <w:rsid w:val="005D3717"/>
    <w:rsid w:val="005D37DC"/>
    <w:rsid w:val="005D37FA"/>
    <w:rsid w:val="005D399C"/>
    <w:rsid w:val="005D3D97"/>
    <w:rsid w:val="005D3E2B"/>
    <w:rsid w:val="005D414C"/>
    <w:rsid w:val="005D4346"/>
    <w:rsid w:val="005D46D4"/>
    <w:rsid w:val="005D47D4"/>
    <w:rsid w:val="005D4C94"/>
    <w:rsid w:val="005D4DB9"/>
    <w:rsid w:val="005D4E64"/>
    <w:rsid w:val="005D4F30"/>
    <w:rsid w:val="005D4FEB"/>
    <w:rsid w:val="005D5055"/>
    <w:rsid w:val="005D53B5"/>
    <w:rsid w:val="005D5910"/>
    <w:rsid w:val="005D5DE5"/>
    <w:rsid w:val="005D5ECA"/>
    <w:rsid w:val="005D60CB"/>
    <w:rsid w:val="005D611D"/>
    <w:rsid w:val="005D6377"/>
    <w:rsid w:val="005D6CBC"/>
    <w:rsid w:val="005D6DAA"/>
    <w:rsid w:val="005D6ED8"/>
    <w:rsid w:val="005D79B3"/>
    <w:rsid w:val="005D7B36"/>
    <w:rsid w:val="005D7C24"/>
    <w:rsid w:val="005E0011"/>
    <w:rsid w:val="005E0796"/>
    <w:rsid w:val="005E08A9"/>
    <w:rsid w:val="005E098F"/>
    <w:rsid w:val="005E0E4F"/>
    <w:rsid w:val="005E0ED7"/>
    <w:rsid w:val="005E108D"/>
    <w:rsid w:val="005E12D9"/>
    <w:rsid w:val="005E1834"/>
    <w:rsid w:val="005E1991"/>
    <w:rsid w:val="005E199F"/>
    <w:rsid w:val="005E1A27"/>
    <w:rsid w:val="005E1E83"/>
    <w:rsid w:val="005E1F8D"/>
    <w:rsid w:val="005E2336"/>
    <w:rsid w:val="005E2A14"/>
    <w:rsid w:val="005E2ABB"/>
    <w:rsid w:val="005E2C52"/>
    <w:rsid w:val="005E2D85"/>
    <w:rsid w:val="005E3A53"/>
    <w:rsid w:val="005E3B04"/>
    <w:rsid w:val="005E3F66"/>
    <w:rsid w:val="005E3FC3"/>
    <w:rsid w:val="005E4783"/>
    <w:rsid w:val="005E4799"/>
    <w:rsid w:val="005E4A9A"/>
    <w:rsid w:val="005E4A9F"/>
    <w:rsid w:val="005E4AE5"/>
    <w:rsid w:val="005E4C05"/>
    <w:rsid w:val="005E4EDC"/>
    <w:rsid w:val="005E512C"/>
    <w:rsid w:val="005E5271"/>
    <w:rsid w:val="005E5325"/>
    <w:rsid w:val="005E562D"/>
    <w:rsid w:val="005E56C9"/>
    <w:rsid w:val="005E58F7"/>
    <w:rsid w:val="005E5922"/>
    <w:rsid w:val="005E5DD6"/>
    <w:rsid w:val="005E5F03"/>
    <w:rsid w:val="005E6331"/>
    <w:rsid w:val="005E68BD"/>
    <w:rsid w:val="005E6AA3"/>
    <w:rsid w:val="005E6E37"/>
    <w:rsid w:val="005E766A"/>
    <w:rsid w:val="005E7771"/>
    <w:rsid w:val="005E7894"/>
    <w:rsid w:val="005E78BA"/>
    <w:rsid w:val="005E7901"/>
    <w:rsid w:val="005F00B4"/>
    <w:rsid w:val="005F018B"/>
    <w:rsid w:val="005F02A1"/>
    <w:rsid w:val="005F0869"/>
    <w:rsid w:val="005F096B"/>
    <w:rsid w:val="005F0A41"/>
    <w:rsid w:val="005F0DB9"/>
    <w:rsid w:val="005F134B"/>
    <w:rsid w:val="005F14B1"/>
    <w:rsid w:val="005F1CF2"/>
    <w:rsid w:val="005F2B24"/>
    <w:rsid w:val="005F2EF8"/>
    <w:rsid w:val="005F32E7"/>
    <w:rsid w:val="005F3407"/>
    <w:rsid w:val="005F3640"/>
    <w:rsid w:val="005F3AE3"/>
    <w:rsid w:val="005F4097"/>
    <w:rsid w:val="005F4127"/>
    <w:rsid w:val="005F4B01"/>
    <w:rsid w:val="005F4B2C"/>
    <w:rsid w:val="005F50A6"/>
    <w:rsid w:val="005F514B"/>
    <w:rsid w:val="005F5248"/>
    <w:rsid w:val="005F53BD"/>
    <w:rsid w:val="005F56D6"/>
    <w:rsid w:val="005F5AFA"/>
    <w:rsid w:val="005F5BA7"/>
    <w:rsid w:val="005F5DD2"/>
    <w:rsid w:val="005F6234"/>
    <w:rsid w:val="005F6532"/>
    <w:rsid w:val="005F6536"/>
    <w:rsid w:val="005F683D"/>
    <w:rsid w:val="005F69EE"/>
    <w:rsid w:val="005F6AA4"/>
    <w:rsid w:val="005F6F32"/>
    <w:rsid w:val="005F7078"/>
    <w:rsid w:val="005F7217"/>
    <w:rsid w:val="005F78D5"/>
    <w:rsid w:val="005F795F"/>
    <w:rsid w:val="005F7E58"/>
    <w:rsid w:val="006000AE"/>
    <w:rsid w:val="006000FD"/>
    <w:rsid w:val="00600121"/>
    <w:rsid w:val="0060050C"/>
    <w:rsid w:val="0060097A"/>
    <w:rsid w:val="00600F30"/>
    <w:rsid w:val="006012D3"/>
    <w:rsid w:val="006016BA"/>
    <w:rsid w:val="00601A76"/>
    <w:rsid w:val="006020CD"/>
    <w:rsid w:val="0060231D"/>
    <w:rsid w:val="006025AB"/>
    <w:rsid w:val="0060274F"/>
    <w:rsid w:val="0060277A"/>
    <w:rsid w:val="006027F6"/>
    <w:rsid w:val="006028A8"/>
    <w:rsid w:val="00602C8E"/>
    <w:rsid w:val="00602D22"/>
    <w:rsid w:val="00602F6F"/>
    <w:rsid w:val="006031A1"/>
    <w:rsid w:val="006031B0"/>
    <w:rsid w:val="006037FC"/>
    <w:rsid w:val="00603B73"/>
    <w:rsid w:val="00603DCA"/>
    <w:rsid w:val="00603F8B"/>
    <w:rsid w:val="00603FA4"/>
    <w:rsid w:val="00603FF4"/>
    <w:rsid w:val="00604048"/>
    <w:rsid w:val="00604060"/>
    <w:rsid w:val="006046FF"/>
    <w:rsid w:val="00604D77"/>
    <w:rsid w:val="006053BA"/>
    <w:rsid w:val="0060558F"/>
    <w:rsid w:val="00605AFB"/>
    <w:rsid w:val="00605C1B"/>
    <w:rsid w:val="00605CF4"/>
    <w:rsid w:val="00605DEE"/>
    <w:rsid w:val="00606015"/>
    <w:rsid w:val="0060608B"/>
    <w:rsid w:val="00606A37"/>
    <w:rsid w:val="00606AE9"/>
    <w:rsid w:val="00607354"/>
    <w:rsid w:val="006073B4"/>
    <w:rsid w:val="0060743B"/>
    <w:rsid w:val="00607A8B"/>
    <w:rsid w:val="0061028B"/>
    <w:rsid w:val="006104B8"/>
    <w:rsid w:val="0061089A"/>
    <w:rsid w:val="0061094B"/>
    <w:rsid w:val="00610BF2"/>
    <w:rsid w:val="00610EC0"/>
    <w:rsid w:val="00610FB0"/>
    <w:rsid w:val="006112D2"/>
    <w:rsid w:val="0061148E"/>
    <w:rsid w:val="0061154C"/>
    <w:rsid w:val="006117C5"/>
    <w:rsid w:val="00611AD1"/>
    <w:rsid w:val="00611C99"/>
    <w:rsid w:val="00611CFB"/>
    <w:rsid w:val="00612C40"/>
    <w:rsid w:val="00612EFA"/>
    <w:rsid w:val="00613381"/>
    <w:rsid w:val="00613A49"/>
    <w:rsid w:val="00613B78"/>
    <w:rsid w:val="00613F94"/>
    <w:rsid w:val="00614700"/>
    <w:rsid w:val="00615397"/>
    <w:rsid w:val="0061583F"/>
    <w:rsid w:val="00615E39"/>
    <w:rsid w:val="00615E55"/>
    <w:rsid w:val="006160B3"/>
    <w:rsid w:val="00616104"/>
    <w:rsid w:val="00616965"/>
    <w:rsid w:val="00616CC8"/>
    <w:rsid w:val="00616D22"/>
    <w:rsid w:val="00617951"/>
    <w:rsid w:val="006179F9"/>
    <w:rsid w:val="00617A84"/>
    <w:rsid w:val="00617B58"/>
    <w:rsid w:val="0062021A"/>
    <w:rsid w:val="00620282"/>
    <w:rsid w:val="00620CAF"/>
    <w:rsid w:val="00620F00"/>
    <w:rsid w:val="006210FB"/>
    <w:rsid w:val="00621D1B"/>
    <w:rsid w:val="00621DFF"/>
    <w:rsid w:val="00622FAE"/>
    <w:rsid w:val="006230CC"/>
    <w:rsid w:val="0062369F"/>
    <w:rsid w:val="006237BD"/>
    <w:rsid w:val="006238ED"/>
    <w:rsid w:val="00623AAA"/>
    <w:rsid w:val="00623DD0"/>
    <w:rsid w:val="00624D9C"/>
    <w:rsid w:val="00624DD9"/>
    <w:rsid w:val="00624E76"/>
    <w:rsid w:val="00624FDF"/>
    <w:rsid w:val="006254D3"/>
    <w:rsid w:val="00625D30"/>
    <w:rsid w:val="006262AC"/>
    <w:rsid w:val="006268BB"/>
    <w:rsid w:val="00626CA8"/>
    <w:rsid w:val="00626D71"/>
    <w:rsid w:val="006272F1"/>
    <w:rsid w:val="0062767C"/>
    <w:rsid w:val="006278EA"/>
    <w:rsid w:val="00627B6C"/>
    <w:rsid w:val="0063005B"/>
    <w:rsid w:val="00630298"/>
    <w:rsid w:val="0063031A"/>
    <w:rsid w:val="006306F8"/>
    <w:rsid w:val="0063087A"/>
    <w:rsid w:val="00631544"/>
    <w:rsid w:val="006316A4"/>
    <w:rsid w:val="0063172B"/>
    <w:rsid w:val="00631DA5"/>
    <w:rsid w:val="00631F67"/>
    <w:rsid w:val="0063267A"/>
    <w:rsid w:val="00632998"/>
    <w:rsid w:val="00632AC9"/>
    <w:rsid w:val="0063356D"/>
    <w:rsid w:val="006338DD"/>
    <w:rsid w:val="00633CCE"/>
    <w:rsid w:val="00633CD2"/>
    <w:rsid w:val="00633D57"/>
    <w:rsid w:val="00633E30"/>
    <w:rsid w:val="00634787"/>
    <w:rsid w:val="006348B9"/>
    <w:rsid w:val="00634D81"/>
    <w:rsid w:val="00635121"/>
    <w:rsid w:val="0063568D"/>
    <w:rsid w:val="00635698"/>
    <w:rsid w:val="00635762"/>
    <w:rsid w:val="00635A1A"/>
    <w:rsid w:val="00635A63"/>
    <w:rsid w:val="0063657B"/>
    <w:rsid w:val="006369F7"/>
    <w:rsid w:val="00636A90"/>
    <w:rsid w:val="00636D1A"/>
    <w:rsid w:val="006371D9"/>
    <w:rsid w:val="00637C08"/>
    <w:rsid w:val="00637D3D"/>
    <w:rsid w:val="00640162"/>
    <w:rsid w:val="00640197"/>
    <w:rsid w:val="006401F6"/>
    <w:rsid w:val="00640507"/>
    <w:rsid w:val="00640536"/>
    <w:rsid w:val="0064067E"/>
    <w:rsid w:val="006407D4"/>
    <w:rsid w:val="006407DB"/>
    <w:rsid w:val="006408F4"/>
    <w:rsid w:val="00640B8A"/>
    <w:rsid w:val="00641081"/>
    <w:rsid w:val="00641092"/>
    <w:rsid w:val="006411EC"/>
    <w:rsid w:val="0064131E"/>
    <w:rsid w:val="0064140A"/>
    <w:rsid w:val="00641583"/>
    <w:rsid w:val="0064182F"/>
    <w:rsid w:val="00641923"/>
    <w:rsid w:val="00641E51"/>
    <w:rsid w:val="00641EEE"/>
    <w:rsid w:val="00641F2B"/>
    <w:rsid w:val="00641FCD"/>
    <w:rsid w:val="00642339"/>
    <w:rsid w:val="00642529"/>
    <w:rsid w:val="0064257C"/>
    <w:rsid w:val="0064284F"/>
    <w:rsid w:val="006429E3"/>
    <w:rsid w:val="00643325"/>
    <w:rsid w:val="00643365"/>
    <w:rsid w:val="006433CD"/>
    <w:rsid w:val="00643B57"/>
    <w:rsid w:val="00643C2C"/>
    <w:rsid w:val="00643EF2"/>
    <w:rsid w:val="00643FC2"/>
    <w:rsid w:val="00644916"/>
    <w:rsid w:val="00644D10"/>
    <w:rsid w:val="00644DDB"/>
    <w:rsid w:val="00644E0E"/>
    <w:rsid w:val="0064522F"/>
    <w:rsid w:val="00645511"/>
    <w:rsid w:val="006455A4"/>
    <w:rsid w:val="00645612"/>
    <w:rsid w:val="00645744"/>
    <w:rsid w:val="0064592A"/>
    <w:rsid w:val="00645CDB"/>
    <w:rsid w:val="006465E6"/>
    <w:rsid w:val="00646867"/>
    <w:rsid w:val="0064695E"/>
    <w:rsid w:val="00646AE1"/>
    <w:rsid w:val="00646CE8"/>
    <w:rsid w:val="00647094"/>
    <w:rsid w:val="00647698"/>
    <w:rsid w:val="00647AF3"/>
    <w:rsid w:val="00650301"/>
    <w:rsid w:val="0065081F"/>
    <w:rsid w:val="00650AE5"/>
    <w:rsid w:val="00650ED8"/>
    <w:rsid w:val="0065102E"/>
    <w:rsid w:val="006512CC"/>
    <w:rsid w:val="0065151F"/>
    <w:rsid w:val="00651574"/>
    <w:rsid w:val="00651AEB"/>
    <w:rsid w:val="006526CE"/>
    <w:rsid w:val="00652813"/>
    <w:rsid w:val="00652AF2"/>
    <w:rsid w:val="00652C4B"/>
    <w:rsid w:val="00652DFE"/>
    <w:rsid w:val="00652F00"/>
    <w:rsid w:val="006532B1"/>
    <w:rsid w:val="006532DF"/>
    <w:rsid w:val="0065344E"/>
    <w:rsid w:val="00653476"/>
    <w:rsid w:val="0065350D"/>
    <w:rsid w:val="006537C5"/>
    <w:rsid w:val="00653CD3"/>
    <w:rsid w:val="00653D00"/>
    <w:rsid w:val="00653D63"/>
    <w:rsid w:val="00653D6E"/>
    <w:rsid w:val="00654221"/>
    <w:rsid w:val="00654342"/>
    <w:rsid w:val="00654368"/>
    <w:rsid w:val="00654487"/>
    <w:rsid w:val="00655080"/>
    <w:rsid w:val="0065524B"/>
    <w:rsid w:val="0065543A"/>
    <w:rsid w:val="00655457"/>
    <w:rsid w:val="00655476"/>
    <w:rsid w:val="00655F5B"/>
    <w:rsid w:val="00656418"/>
    <w:rsid w:val="006565F6"/>
    <w:rsid w:val="00656871"/>
    <w:rsid w:val="006569C2"/>
    <w:rsid w:val="00657257"/>
    <w:rsid w:val="006572B0"/>
    <w:rsid w:val="0065773E"/>
    <w:rsid w:val="00657905"/>
    <w:rsid w:val="00657E35"/>
    <w:rsid w:val="006603AD"/>
    <w:rsid w:val="006604A4"/>
    <w:rsid w:val="0066076B"/>
    <w:rsid w:val="006607E5"/>
    <w:rsid w:val="006608F6"/>
    <w:rsid w:val="00660C1B"/>
    <w:rsid w:val="0066109B"/>
    <w:rsid w:val="00661100"/>
    <w:rsid w:val="006613FA"/>
    <w:rsid w:val="0066159A"/>
    <w:rsid w:val="00661A68"/>
    <w:rsid w:val="00661B61"/>
    <w:rsid w:val="00661D71"/>
    <w:rsid w:val="00661F18"/>
    <w:rsid w:val="006622C0"/>
    <w:rsid w:val="00662727"/>
    <w:rsid w:val="00662966"/>
    <w:rsid w:val="00662990"/>
    <w:rsid w:val="00662D5E"/>
    <w:rsid w:val="00662EBE"/>
    <w:rsid w:val="00662F1F"/>
    <w:rsid w:val="00663678"/>
    <w:rsid w:val="0066379D"/>
    <w:rsid w:val="00663824"/>
    <w:rsid w:val="006639B2"/>
    <w:rsid w:val="00663D1B"/>
    <w:rsid w:val="00663E0C"/>
    <w:rsid w:val="00663EC6"/>
    <w:rsid w:val="00663F05"/>
    <w:rsid w:val="00663F4F"/>
    <w:rsid w:val="0066458E"/>
    <w:rsid w:val="006647E6"/>
    <w:rsid w:val="00664A2F"/>
    <w:rsid w:val="00664F80"/>
    <w:rsid w:val="00665218"/>
    <w:rsid w:val="00665425"/>
    <w:rsid w:val="006657A1"/>
    <w:rsid w:val="00665AE5"/>
    <w:rsid w:val="00666778"/>
    <w:rsid w:val="006669D2"/>
    <w:rsid w:val="00666A6D"/>
    <w:rsid w:val="006672AC"/>
    <w:rsid w:val="00667908"/>
    <w:rsid w:val="00667A38"/>
    <w:rsid w:val="00667E06"/>
    <w:rsid w:val="00667E41"/>
    <w:rsid w:val="00667EF7"/>
    <w:rsid w:val="0067011B"/>
    <w:rsid w:val="00670172"/>
    <w:rsid w:val="006701CF"/>
    <w:rsid w:val="006702E6"/>
    <w:rsid w:val="006709B8"/>
    <w:rsid w:val="0067112B"/>
    <w:rsid w:val="00671195"/>
    <w:rsid w:val="006712B6"/>
    <w:rsid w:val="006716F0"/>
    <w:rsid w:val="00671DC2"/>
    <w:rsid w:val="00671E71"/>
    <w:rsid w:val="006722CC"/>
    <w:rsid w:val="00672316"/>
    <w:rsid w:val="006724F6"/>
    <w:rsid w:val="00672966"/>
    <w:rsid w:val="006729C4"/>
    <w:rsid w:val="00672A41"/>
    <w:rsid w:val="00672AED"/>
    <w:rsid w:val="006731E1"/>
    <w:rsid w:val="00673A47"/>
    <w:rsid w:val="00673A73"/>
    <w:rsid w:val="006741B0"/>
    <w:rsid w:val="006741C5"/>
    <w:rsid w:val="006745FC"/>
    <w:rsid w:val="00674919"/>
    <w:rsid w:val="00674ABB"/>
    <w:rsid w:val="00674F20"/>
    <w:rsid w:val="0067558B"/>
    <w:rsid w:val="006755DF"/>
    <w:rsid w:val="006757DB"/>
    <w:rsid w:val="006757E8"/>
    <w:rsid w:val="0067592F"/>
    <w:rsid w:val="00675D14"/>
    <w:rsid w:val="00675E44"/>
    <w:rsid w:val="00675E5D"/>
    <w:rsid w:val="0067634F"/>
    <w:rsid w:val="006766AA"/>
    <w:rsid w:val="0067675E"/>
    <w:rsid w:val="00676DB2"/>
    <w:rsid w:val="00676F7E"/>
    <w:rsid w:val="00677280"/>
    <w:rsid w:val="00677317"/>
    <w:rsid w:val="0067768C"/>
    <w:rsid w:val="00677A9F"/>
    <w:rsid w:val="00677CC3"/>
    <w:rsid w:val="00677E6E"/>
    <w:rsid w:val="006800A0"/>
    <w:rsid w:val="006802CD"/>
    <w:rsid w:val="0068045F"/>
    <w:rsid w:val="0068057A"/>
    <w:rsid w:val="0068068D"/>
    <w:rsid w:val="006808BC"/>
    <w:rsid w:val="00680983"/>
    <w:rsid w:val="006809F3"/>
    <w:rsid w:val="00680F45"/>
    <w:rsid w:val="00681259"/>
    <w:rsid w:val="006812CE"/>
    <w:rsid w:val="00681667"/>
    <w:rsid w:val="006819ED"/>
    <w:rsid w:val="00681C0C"/>
    <w:rsid w:val="00681C79"/>
    <w:rsid w:val="00681DCE"/>
    <w:rsid w:val="00681E05"/>
    <w:rsid w:val="00682248"/>
    <w:rsid w:val="006824E3"/>
    <w:rsid w:val="00682631"/>
    <w:rsid w:val="0068263C"/>
    <w:rsid w:val="0068263D"/>
    <w:rsid w:val="006826D6"/>
    <w:rsid w:val="00682AE6"/>
    <w:rsid w:val="00682FEF"/>
    <w:rsid w:val="0068352E"/>
    <w:rsid w:val="0068356D"/>
    <w:rsid w:val="00683B8C"/>
    <w:rsid w:val="00684252"/>
    <w:rsid w:val="00684547"/>
    <w:rsid w:val="00684558"/>
    <w:rsid w:val="006846A5"/>
    <w:rsid w:val="00684878"/>
    <w:rsid w:val="006849BB"/>
    <w:rsid w:val="00684D33"/>
    <w:rsid w:val="00684DBA"/>
    <w:rsid w:val="00684DE7"/>
    <w:rsid w:val="0068509E"/>
    <w:rsid w:val="00685448"/>
    <w:rsid w:val="00685571"/>
    <w:rsid w:val="0068564D"/>
    <w:rsid w:val="00685AB7"/>
    <w:rsid w:val="00685B79"/>
    <w:rsid w:val="00685C5A"/>
    <w:rsid w:val="00686753"/>
    <w:rsid w:val="0068686D"/>
    <w:rsid w:val="00686C25"/>
    <w:rsid w:val="00686C2E"/>
    <w:rsid w:val="00687094"/>
    <w:rsid w:val="00687246"/>
    <w:rsid w:val="00687481"/>
    <w:rsid w:val="00687A9B"/>
    <w:rsid w:val="00687D30"/>
    <w:rsid w:val="00687D3E"/>
    <w:rsid w:val="006907BD"/>
    <w:rsid w:val="00691046"/>
    <w:rsid w:val="0069106F"/>
    <w:rsid w:val="00691630"/>
    <w:rsid w:val="00691A37"/>
    <w:rsid w:val="00691B3B"/>
    <w:rsid w:val="00691ED1"/>
    <w:rsid w:val="00692801"/>
    <w:rsid w:val="006929FA"/>
    <w:rsid w:val="00692C8E"/>
    <w:rsid w:val="00692D28"/>
    <w:rsid w:val="00693114"/>
    <w:rsid w:val="00693853"/>
    <w:rsid w:val="00693903"/>
    <w:rsid w:val="00693968"/>
    <w:rsid w:val="00693ED6"/>
    <w:rsid w:val="00694120"/>
    <w:rsid w:val="006945CC"/>
    <w:rsid w:val="00694795"/>
    <w:rsid w:val="006947C8"/>
    <w:rsid w:val="00694DDF"/>
    <w:rsid w:val="006952EE"/>
    <w:rsid w:val="0069557F"/>
    <w:rsid w:val="0069579E"/>
    <w:rsid w:val="00695A8F"/>
    <w:rsid w:val="00695B71"/>
    <w:rsid w:val="0069638E"/>
    <w:rsid w:val="0069641A"/>
    <w:rsid w:val="006965E6"/>
    <w:rsid w:val="00696628"/>
    <w:rsid w:val="006966C1"/>
    <w:rsid w:val="00696732"/>
    <w:rsid w:val="00696857"/>
    <w:rsid w:val="00696A92"/>
    <w:rsid w:val="00696CA7"/>
    <w:rsid w:val="00696D12"/>
    <w:rsid w:val="00696E39"/>
    <w:rsid w:val="00696E9F"/>
    <w:rsid w:val="0069706A"/>
    <w:rsid w:val="006977F2"/>
    <w:rsid w:val="006979E6"/>
    <w:rsid w:val="00697A4C"/>
    <w:rsid w:val="00697DB2"/>
    <w:rsid w:val="006A01BE"/>
    <w:rsid w:val="006A01FB"/>
    <w:rsid w:val="006A027D"/>
    <w:rsid w:val="006A048B"/>
    <w:rsid w:val="006A0673"/>
    <w:rsid w:val="006A0751"/>
    <w:rsid w:val="006A080F"/>
    <w:rsid w:val="006A0811"/>
    <w:rsid w:val="006A106C"/>
    <w:rsid w:val="006A10FE"/>
    <w:rsid w:val="006A1AD8"/>
    <w:rsid w:val="006A2A70"/>
    <w:rsid w:val="006A2B6F"/>
    <w:rsid w:val="006A2BA0"/>
    <w:rsid w:val="006A331A"/>
    <w:rsid w:val="006A383E"/>
    <w:rsid w:val="006A3B46"/>
    <w:rsid w:val="006A3DDE"/>
    <w:rsid w:val="006A4373"/>
    <w:rsid w:val="006A466A"/>
    <w:rsid w:val="006A46A4"/>
    <w:rsid w:val="006A470A"/>
    <w:rsid w:val="006A4929"/>
    <w:rsid w:val="006A55CD"/>
    <w:rsid w:val="006A58E0"/>
    <w:rsid w:val="006A61D7"/>
    <w:rsid w:val="006A621F"/>
    <w:rsid w:val="006A653F"/>
    <w:rsid w:val="006A6B03"/>
    <w:rsid w:val="006A6D0B"/>
    <w:rsid w:val="006A6F5E"/>
    <w:rsid w:val="006A7E53"/>
    <w:rsid w:val="006B049F"/>
    <w:rsid w:val="006B0812"/>
    <w:rsid w:val="006B0ACF"/>
    <w:rsid w:val="006B0C48"/>
    <w:rsid w:val="006B0EA2"/>
    <w:rsid w:val="006B1253"/>
    <w:rsid w:val="006B13A7"/>
    <w:rsid w:val="006B1429"/>
    <w:rsid w:val="006B197C"/>
    <w:rsid w:val="006B1ACE"/>
    <w:rsid w:val="006B1E94"/>
    <w:rsid w:val="006B24F3"/>
    <w:rsid w:val="006B2887"/>
    <w:rsid w:val="006B2A0D"/>
    <w:rsid w:val="006B2EB8"/>
    <w:rsid w:val="006B2ECC"/>
    <w:rsid w:val="006B345B"/>
    <w:rsid w:val="006B3B4E"/>
    <w:rsid w:val="006B4218"/>
    <w:rsid w:val="006B42B5"/>
    <w:rsid w:val="006B4432"/>
    <w:rsid w:val="006B4482"/>
    <w:rsid w:val="006B4566"/>
    <w:rsid w:val="006B477B"/>
    <w:rsid w:val="006B4E2C"/>
    <w:rsid w:val="006B4F57"/>
    <w:rsid w:val="006B5F4E"/>
    <w:rsid w:val="006B6160"/>
    <w:rsid w:val="006B67B1"/>
    <w:rsid w:val="006B6879"/>
    <w:rsid w:val="006B6BDF"/>
    <w:rsid w:val="006B6C11"/>
    <w:rsid w:val="006B6D8D"/>
    <w:rsid w:val="006B7007"/>
    <w:rsid w:val="006B7149"/>
    <w:rsid w:val="006B75E6"/>
    <w:rsid w:val="006B7692"/>
    <w:rsid w:val="006B7814"/>
    <w:rsid w:val="006B78E2"/>
    <w:rsid w:val="006B7C62"/>
    <w:rsid w:val="006B7EFE"/>
    <w:rsid w:val="006C02A6"/>
    <w:rsid w:val="006C04FD"/>
    <w:rsid w:val="006C07B2"/>
    <w:rsid w:val="006C0A69"/>
    <w:rsid w:val="006C13EA"/>
    <w:rsid w:val="006C1459"/>
    <w:rsid w:val="006C15A5"/>
    <w:rsid w:val="006C1A1A"/>
    <w:rsid w:val="006C1B88"/>
    <w:rsid w:val="006C28BA"/>
    <w:rsid w:val="006C2F73"/>
    <w:rsid w:val="006C34B7"/>
    <w:rsid w:val="006C3530"/>
    <w:rsid w:val="006C3782"/>
    <w:rsid w:val="006C3860"/>
    <w:rsid w:val="006C39AD"/>
    <w:rsid w:val="006C39F6"/>
    <w:rsid w:val="006C3F04"/>
    <w:rsid w:val="006C420E"/>
    <w:rsid w:val="006C4267"/>
    <w:rsid w:val="006C4277"/>
    <w:rsid w:val="006C429B"/>
    <w:rsid w:val="006C46EA"/>
    <w:rsid w:val="006C4907"/>
    <w:rsid w:val="006C4909"/>
    <w:rsid w:val="006C4CC5"/>
    <w:rsid w:val="006C4DDF"/>
    <w:rsid w:val="006C58CF"/>
    <w:rsid w:val="006C6236"/>
    <w:rsid w:val="006C6330"/>
    <w:rsid w:val="006C69B1"/>
    <w:rsid w:val="006C6A82"/>
    <w:rsid w:val="006C6F10"/>
    <w:rsid w:val="006C6F13"/>
    <w:rsid w:val="006C704E"/>
    <w:rsid w:val="006C76E4"/>
    <w:rsid w:val="006C7BDE"/>
    <w:rsid w:val="006C7D2C"/>
    <w:rsid w:val="006C7D98"/>
    <w:rsid w:val="006C7F50"/>
    <w:rsid w:val="006D0263"/>
    <w:rsid w:val="006D042A"/>
    <w:rsid w:val="006D0555"/>
    <w:rsid w:val="006D1158"/>
    <w:rsid w:val="006D124E"/>
    <w:rsid w:val="006D148C"/>
    <w:rsid w:val="006D160A"/>
    <w:rsid w:val="006D16B6"/>
    <w:rsid w:val="006D16CF"/>
    <w:rsid w:val="006D1721"/>
    <w:rsid w:val="006D1850"/>
    <w:rsid w:val="006D1C2F"/>
    <w:rsid w:val="006D1F79"/>
    <w:rsid w:val="006D2548"/>
    <w:rsid w:val="006D286E"/>
    <w:rsid w:val="006D2ACA"/>
    <w:rsid w:val="006D2D2A"/>
    <w:rsid w:val="006D3102"/>
    <w:rsid w:val="006D32FC"/>
    <w:rsid w:val="006D4063"/>
    <w:rsid w:val="006D4408"/>
    <w:rsid w:val="006D4531"/>
    <w:rsid w:val="006D5266"/>
    <w:rsid w:val="006D54EE"/>
    <w:rsid w:val="006D5A19"/>
    <w:rsid w:val="006D5E0E"/>
    <w:rsid w:val="006D60DF"/>
    <w:rsid w:val="006D629D"/>
    <w:rsid w:val="006D638F"/>
    <w:rsid w:val="006D6636"/>
    <w:rsid w:val="006D668A"/>
    <w:rsid w:val="006D6BF4"/>
    <w:rsid w:val="006D6E88"/>
    <w:rsid w:val="006D6F96"/>
    <w:rsid w:val="006D7065"/>
    <w:rsid w:val="006D71A6"/>
    <w:rsid w:val="006D724B"/>
    <w:rsid w:val="006D7440"/>
    <w:rsid w:val="006D74FA"/>
    <w:rsid w:val="006D7744"/>
    <w:rsid w:val="006D7FC9"/>
    <w:rsid w:val="006E00E7"/>
    <w:rsid w:val="006E017F"/>
    <w:rsid w:val="006E02C5"/>
    <w:rsid w:val="006E03ED"/>
    <w:rsid w:val="006E06B6"/>
    <w:rsid w:val="006E0801"/>
    <w:rsid w:val="006E0920"/>
    <w:rsid w:val="006E0C8C"/>
    <w:rsid w:val="006E1211"/>
    <w:rsid w:val="006E1615"/>
    <w:rsid w:val="006E184B"/>
    <w:rsid w:val="006E1E4E"/>
    <w:rsid w:val="006E20C3"/>
    <w:rsid w:val="006E2265"/>
    <w:rsid w:val="006E2D2A"/>
    <w:rsid w:val="006E3514"/>
    <w:rsid w:val="006E35E3"/>
    <w:rsid w:val="006E3627"/>
    <w:rsid w:val="006E367B"/>
    <w:rsid w:val="006E3DFE"/>
    <w:rsid w:val="006E45A1"/>
    <w:rsid w:val="006E4EB8"/>
    <w:rsid w:val="006E53D1"/>
    <w:rsid w:val="006E5720"/>
    <w:rsid w:val="006E578F"/>
    <w:rsid w:val="006E5899"/>
    <w:rsid w:val="006E5C30"/>
    <w:rsid w:val="006E5DB3"/>
    <w:rsid w:val="006E5EED"/>
    <w:rsid w:val="006E5F43"/>
    <w:rsid w:val="006E5FB3"/>
    <w:rsid w:val="006E63CA"/>
    <w:rsid w:val="006E642D"/>
    <w:rsid w:val="006E6655"/>
    <w:rsid w:val="006E6C9D"/>
    <w:rsid w:val="006E6EC1"/>
    <w:rsid w:val="006E786C"/>
    <w:rsid w:val="006E7A6B"/>
    <w:rsid w:val="006E7AC2"/>
    <w:rsid w:val="006E7DBE"/>
    <w:rsid w:val="006F053A"/>
    <w:rsid w:val="006F0578"/>
    <w:rsid w:val="006F0FA5"/>
    <w:rsid w:val="006F10CA"/>
    <w:rsid w:val="006F10F1"/>
    <w:rsid w:val="006F15E3"/>
    <w:rsid w:val="006F16D2"/>
    <w:rsid w:val="006F19A4"/>
    <w:rsid w:val="006F1D0C"/>
    <w:rsid w:val="006F2434"/>
    <w:rsid w:val="006F24CA"/>
    <w:rsid w:val="006F282B"/>
    <w:rsid w:val="006F29DE"/>
    <w:rsid w:val="006F2A3D"/>
    <w:rsid w:val="006F3048"/>
    <w:rsid w:val="006F306C"/>
    <w:rsid w:val="006F3273"/>
    <w:rsid w:val="006F3313"/>
    <w:rsid w:val="006F3906"/>
    <w:rsid w:val="006F3963"/>
    <w:rsid w:val="006F3B98"/>
    <w:rsid w:val="006F3F71"/>
    <w:rsid w:val="006F401C"/>
    <w:rsid w:val="006F4170"/>
    <w:rsid w:val="006F42DF"/>
    <w:rsid w:val="006F456F"/>
    <w:rsid w:val="006F498D"/>
    <w:rsid w:val="006F50D9"/>
    <w:rsid w:val="006F511E"/>
    <w:rsid w:val="006F52D2"/>
    <w:rsid w:val="006F53ED"/>
    <w:rsid w:val="006F5605"/>
    <w:rsid w:val="006F5830"/>
    <w:rsid w:val="006F5DCB"/>
    <w:rsid w:val="006F5E6F"/>
    <w:rsid w:val="006F5FD2"/>
    <w:rsid w:val="006F6219"/>
    <w:rsid w:val="006F62E3"/>
    <w:rsid w:val="006F637E"/>
    <w:rsid w:val="006F66EE"/>
    <w:rsid w:val="006F6815"/>
    <w:rsid w:val="006F6871"/>
    <w:rsid w:val="006F690D"/>
    <w:rsid w:val="006F6AB1"/>
    <w:rsid w:val="006F6AC8"/>
    <w:rsid w:val="006F7414"/>
    <w:rsid w:val="006F74F1"/>
    <w:rsid w:val="006F751B"/>
    <w:rsid w:val="006F75C8"/>
    <w:rsid w:val="006F7C1C"/>
    <w:rsid w:val="006F7DAA"/>
    <w:rsid w:val="006F7E1B"/>
    <w:rsid w:val="00700157"/>
    <w:rsid w:val="00700213"/>
    <w:rsid w:val="007007AD"/>
    <w:rsid w:val="007008A8"/>
    <w:rsid w:val="00700EE4"/>
    <w:rsid w:val="00701182"/>
    <w:rsid w:val="007012B2"/>
    <w:rsid w:val="007015AD"/>
    <w:rsid w:val="007016CE"/>
    <w:rsid w:val="007017F6"/>
    <w:rsid w:val="0070188C"/>
    <w:rsid w:val="007018D6"/>
    <w:rsid w:val="00701FA6"/>
    <w:rsid w:val="007020A6"/>
    <w:rsid w:val="00702159"/>
    <w:rsid w:val="007024CF"/>
    <w:rsid w:val="00702A41"/>
    <w:rsid w:val="00702C07"/>
    <w:rsid w:val="007030DA"/>
    <w:rsid w:val="0070325B"/>
    <w:rsid w:val="007033E1"/>
    <w:rsid w:val="007035BD"/>
    <w:rsid w:val="00703725"/>
    <w:rsid w:val="007037AE"/>
    <w:rsid w:val="007038D9"/>
    <w:rsid w:val="00703CC3"/>
    <w:rsid w:val="00703EC4"/>
    <w:rsid w:val="00703F89"/>
    <w:rsid w:val="0070415B"/>
    <w:rsid w:val="00704603"/>
    <w:rsid w:val="0070464F"/>
    <w:rsid w:val="0070469A"/>
    <w:rsid w:val="007047E9"/>
    <w:rsid w:val="00704AD4"/>
    <w:rsid w:val="00704B8A"/>
    <w:rsid w:val="00704C9D"/>
    <w:rsid w:val="00704D9E"/>
    <w:rsid w:val="007050D0"/>
    <w:rsid w:val="007059F8"/>
    <w:rsid w:val="00705A21"/>
    <w:rsid w:val="00705C7A"/>
    <w:rsid w:val="007060F7"/>
    <w:rsid w:val="007066A8"/>
    <w:rsid w:val="00706A49"/>
    <w:rsid w:val="00706CA0"/>
    <w:rsid w:val="00706D5A"/>
    <w:rsid w:val="00706D6D"/>
    <w:rsid w:val="00706E18"/>
    <w:rsid w:val="00706E49"/>
    <w:rsid w:val="00707564"/>
    <w:rsid w:val="0070756C"/>
    <w:rsid w:val="00707A1A"/>
    <w:rsid w:val="00707E28"/>
    <w:rsid w:val="00707E9D"/>
    <w:rsid w:val="00707EDF"/>
    <w:rsid w:val="00707F75"/>
    <w:rsid w:val="00707F89"/>
    <w:rsid w:val="00710202"/>
    <w:rsid w:val="0071045C"/>
    <w:rsid w:val="00710462"/>
    <w:rsid w:val="0071090C"/>
    <w:rsid w:val="00710A71"/>
    <w:rsid w:val="00710F60"/>
    <w:rsid w:val="00710F74"/>
    <w:rsid w:val="00711052"/>
    <w:rsid w:val="007110A3"/>
    <w:rsid w:val="007114B8"/>
    <w:rsid w:val="007118A0"/>
    <w:rsid w:val="0071199A"/>
    <w:rsid w:val="00711DF7"/>
    <w:rsid w:val="00711E60"/>
    <w:rsid w:val="007120AC"/>
    <w:rsid w:val="007129BD"/>
    <w:rsid w:val="00712CEF"/>
    <w:rsid w:val="00712DB4"/>
    <w:rsid w:val="00712E32"/>
    <w:rsid w:val="00713336"/>
    <w:rsid w:val="0071346A"/>
    <w:rsid w:val="00713E34"/>
    <w:rsid w:val="00713FB9"/>
    <w:rsid w:val="00714059"/>
    <w:rsid w:val="00714745"/>
    <w:rsid w:val="0071491F"/>
    <w:rsid w:val="00714B60"/>
    <w:rsid w:val="007152CC"/>
    <w:rsid w:val="00715556"/>
    <w:rsid w:val="007157CE"/>
    <w:rsid w:val="0071582B"/>
    <w:rsid w:val="00715A4F"/>
    <w:rsid w:val="00715C8D"/>
    <w:rsid w:val="007160CC"/>
    <w:rsid w:val="0071662A"/>
    <w:rsid w:val="00716A81"/>
    <w:rsid w:val="00716C54"/>
    <w:rsid w:val="00716F83"/>
    <w:rsid w:val="007171A7"/>
    <w:rsid w:val="00717549"/>
    <w:rsid w:val="007175EA"/>
    <w:rsid w:val="007178D0"/>
    <w:rsid w:val="00717B04"/>
    <w:rsid w:val="00717B84"/>
    <w:rsid w:val="00720057"/>
    <w:rsid w:val="0072011E"/>
    <w:rsid w:val="00720202"/>
    <w:rsid w:val="0072023C"/>
    <w:rsid w:val="007207CF"/>
    <w:rsid w:val="00720D05"/>
    <w:rsid w:val="007211A1"/>
    <w:rsid w:val="0072123A"/>
    <w:rsid w:val="0072162A"/>
    <w:rsid w:val="0072165F"/>
    <w:rsid w:val="007216E4"/>
    <w:rsid w:val="00721E95"/>
    <w:rsid w:val="00722006"/>
    <w:rsid w:val="00722007"/>
    <w:rsid w:val="00722098"/>
    <w:rsid w:val="0072211F"/>
    <w:rsid w:val="007225AC"/>
    <w:rsid w:val="007227A1"/>
    <w:rsid w:val="007228A0"/>
    <w:rsid w:val="00722AFC"/>
    <w:rsid w:val="00723195"/>
    <w:rsid w:val="00723809"/>
    <w:rsid w:val="00723BBF"/>
    <w:rsid w:val="00723CB0"/>
    <w:rsid w:val="00723ED8"/>
    <w:rsid w:val="00723F64"/>
    <w:rsid w:val="00723FA8"/>
    <w:rsid w:val="00724406"/>
    <w:rsid w:val="00724F10"/>
    <w:rsid w:val="00725064"/>
    <w:rsid w:val="00725215"/>
    <w:rsid w:val="007253AA"/>
    <w:rsid w:val="0072556F"/>
    <w:rsid w:val="00725790"/>
    <w:rsid w:val="0072602D"/>
    <w:rsid w:val="00726674"/>
    <w:rsid w:val="00726B9F"/>
    <w:rsid w:val="00726E94"/>
    <w:rsid w:val="00726F3A"/>
    <w:rsid w:val="0072700F"/>
    <w:rsid w:val="007272D2"/>
    <w:rsid w:val="00727590"/>
    <w:rsid w:val="007275B1"/>
    <w:rsid w:val="007276F8"/>
    <w:rsid w:val="00727C2C"/>
    <w:rsid w:val="00727E7B"/>
    <w:rsid w:val="00727FD7"/>
    <w:rsid w:val="00730A51"/>
    <w:rsid w:val="00730CB2"/>
    <w:rsid w:val="0073120E"/>
    <w:rsid w:val="00731B3D"/>
    <w:rsid w:val="00731B8A"/>
    <w:rsid w:val="00731BF1"/>
    <w:rsid w:val="00731C80"/>
    <w:rsid w:val="007322E1"/>
    <w:rsid w:val="00732503"/>
    <w:rsid w:val="00732695"/>
    <w:rsid w:val="007327B2"/>
    <w:rsid w:val="00732C10"/>
    <w:rsid w:val="00732ED0"/>
    <w:rsid w:val="00733133"/>
    <w:rsid w:val="00733270"/>
    <w:rsid w:val="007332F9"/>
    <w:rsid w:val="00733386"/>
    <w:rsid w:val="0073360B"/>
    <w:rsid w:val="007339D8"/>
    <w:rsid w:val="00733C0E"/>
    <w:rsid w:val="0073431D"/>
    <w:rsid w:val="00734727"/>
    <w:rsid w:val="00734FB3"/>
    <w:rsid w:val="00734FF6"/>
    <w:rsid w:val="00735A24"/>
    <w:rsid w:val="00735A70"/>
    <w:rsid w:val="00735BA3"/>
    <w:rsid w:val="00735BDE"/>
    <w:rsid w:val="00735F21"/>
    <w:rsid w:val="00735F99"/>
    <w:rsid w:val="00736A8F"/>
    <w:rsid w:val="00736C7D"/>
    <w:rsid w:val="007374A5"/>
    <w:rsid w:val="00737CED"/>
    <w:rsid w:val="00737FD7"/>
    <w:rsid w:val="0074088B"/>
    <w:rsid w:val="00740D89"/>
    <w:rsid w:val="00740E79"/>
    <w:rsid w:val="0074114D"/>
    <w:rsid w:val="007414E4"/>
    <w:rsid w:val="007417A4"/>
    <w:rsid w:val="00741A5F"/>
    <w:rsid w:val="0074223E"/>
    <w:rsid w:val="007423D0"/>
    <w:rsid w:val="007426F6"/>
    <w:rsid w:val="00742750"/>
    <w:rsid w:val="00742787"/>
    <w:rsid w:val="0074283F"/>
    <w:rsid w:val="00742A88"/>
    <w:rsid w:val="00742B06"/>
    <w:rsid w:val="00742C8A"/>
    <w:rsid w:val="00742DE0"/>
    <w:rsid w:val="0074305C"/>
    <w:rsid w:val="007433AF"/>
    <w:rsid w:val="007435BE"/>
    <w:rsid w:val="007435E5"/>
    <w:rsid w:val="00743761"/>
    <w:rsid w:val="00743852"/>
    <w:rsid w:val="0074387B"/>
    <w:rsid w:val="00743AE7"/>
    <w:rsid w:val="00743BF5"/>
    <w:rsid w:val="00744207"/>
    <w:rsid w:val="007442DA"/>
    <w:rsid w:val="00744494"/>
    <w:rsid w:val="0074476F"/>
    <w:rsid w:val="00744E3D"/>
    <w:rsid w:val="00744F00"/>
    <w:rsid w:val="00745414"/>
    <w:rsid w:val="007454DA"/>
    <w:rsid w:val="0074559F"/>
    <w:rsid w:val="00745931"/>
    <w:rsid w:val="00745A0E"/>
    <w:rsid w:val="00745B4D"/>
    <w:rsid w:val="00745E2C"/>
    <w:rsid w:val="00745E8D"/>
    <w:rsid w:val="00746140"/>
    <w:rsid w:val="00746531"/>
    <w:rsid w:val="0074653F"/>
    <w:rsid w:val="00747101"/>
    <w:rsid w:val="00747598"/>
    <w:rsid w:val="007475BC"/>
    <w:rsid w:val="00747D71"/>
    <w:rsid w:val="00747E88"/>
    <w:rsid w:val="007504EF"/>
    <w:rsid w:val="00750566"/>
    <w:rsid w:val="007509EC"/>
    <w:rsid w:val="00750AB4"/>
    <w:rsid w:val="00750D99"/>
    <w:rsid w:val="00751343"/>
    <w:rsid w:val="0075174C"/>
    <w:rsid w:val="00751B6A"/>
    <w:rsid w:val="00751F61"/>
    <w:rsid w:val="007522F2"/>
    <w:rsid w:val="007524AA"/>
    <w:rsid w:val="007526EE"/>
    <w:rsid w:val="0075278E"/>
    <w:rsid w:val="00752950"/>
    <w:rsid w:val="00752D95"/>
    <w:rsid w:val="00752EEC"/>
    <w:rsid w:val="0075319F"/>
    <w:rsid w:val="007532AB"/>
    <w:rsid w:val="00753512"/>
    <w:rsid w:val="0075394F"/>
    <w:rsid w:val="00753B00"/>
    <w:rsid w:val="00753F42"/>
    <w:rsid w:val="0075418C"/>
    <w:rsid w:val="007542FE"/>
    <w:rsid w:val="0075477A"/>
    <w:rsid w:val="00754801"/>
    <w:rsid w:val="007548EB"/>
    <w:rsid w:val="00754D59"/>
    <w:rsid w:val="00755585"/>
    <w:rsid w:val="007557D7"/>
    <w:rsid w:val="00755D24"/>
    <w:rsid w:val="007573CA"/>
    <w:rsid w:val="0075773C"/>
    <w:rsid w:val="00757B5B"/>
    <w:rsid w:val="00757D65"/>
    <w:rsid w:val="00757EF5"/>
    <w:rsid w:val="007604BB"/>
    <w:rsid w:val="00760525"/>
    <w:rsid w:val="00760599"/>
    <w:rsid w:val="00760DEF"/>
    <w:rsid w:val="00760E03"/>
    <w:rsid w:val="00760E93"/>
    <w:rsid w:val="0076112E"/>
    <w:rsid w:val="0076161A"/>
    <w:rsid w:val="007616CB"/>
    <w:rsid w:val="00761753"/>
    <w:rsid w:val="00761767"/>
    <w:rsid w:val="00761A59"/>
    <w:rsid w:val="00761C26"/>
    <w:rsid w:val="0076216E"/>
    <w:rsid w:val="00762581"/>
    <w:rsid w:val="00762C8A"/>
    <w:rsid w:val="00762EDD"/>
    <w:rsid w:val="00762F3D"/>
    <w:rsid w:val="00763376"/>
    <w:rsid w:val="007635BC"/>
    <w:rsid w:val="0076372F"/>
    <w:rsid w:val="00763ABB"/>
    <w:rsid w:val="00763D97"/>
    <w:rsid w:val="00763D9B"/>
    <w:rsid w:val="007640EF"/>
    <w:rsid w:val="00764726"/>
    <w:rsid w:val="0076479F"/>
    <w:rsid w:val="007648F1"/>
    <w:rsid w:val="00764BDD"/>
    <w:rsid w:val="00764BE6"/>
    <w:rsid w:val="00764D8E"/>
    <w:rsid w:val="00764E16"/>
    <w:rsid w:val="00765289"/>
    <w:rsid w:val="007653BD"/>
    <w:rsid w:val="00765686"/>
    <w:rsid w:val="00765CDB"/>
    <w:rsid w:val="00765D1A"/>
    <w:rsid w:val="00766584"/>
    <w:rsid w:val="00766FFD"/>
    <w:rsid w:val="00767017"/>
    <w:rsid w:val="007670F9"/>
    <w:rsid w:val="00767536"/>
    <w:rsid w:val="00767EED"/>
    <w:rsid w:val="00767FC5"/>
    <w:rsid w:val="007703FC"/>
    <w:rsid w:val="00770925"/>
    <w:rsid w:val="00770965"/>
    <w:rsid w:val="00770E87"/>
    <w:rsid w:val="00770F6C"/>
    <w:rsid w:val="00770FB1"/>
    <w:rsid w:val="00770FC4"/>
    <w:rsid w:val="0077179E"/>
    <w:rsid w:val="007718B3"/>
    <w:rsid w:val="00771A22"/>
    <w:rsid w:val="00771AA3"/>
    <w:rsid w:val="00771ABE"/>
    <w:rsid w:val="00771ECA"/>
    <w:rsid w:val="00772011"/>
    <w:rsid w:val="00772035"/>
    <w:rsid w:val="00772452"/>
    <w:rsid w:val="00772B9C"/>
    <w:rsid w:val="00772F1C"/>
    <w:rsid w:val="00772F27"/>
    <w:rsid w:val="00773256"/>
    <w:rsid w:val="007732BA"/>
    <w:rsid w:val="0077351F"/>
    <w:rsid w:val="007735CA"/>
    <w:rsid w:val="00773D2C"/>
    <w:rsid w:val="00773D9F"/>
    <w:rsid w:val="00773F53"/>
    <w:rsid w:val="007741A9"/>
    <w:rsid w:val="007742F9"/>
    <w:rsid w:val="0077456D"/>
    <w:rsid w:val="00774652"/>
    <w:rsid w:val="00774BA8"/>
    <w:rsid w:val="00774C9D"/>
    <w:rsid w:val="00775058"/>
    <w:rsid w:val="0077519C"/>
    <w:rsid w:val="00775D4C"/>
    <w:rsid w:val="00775E5F"/>
    <w:rsid w:val="007762B5"/>
    <w:rsid w:val="0077686B"/>
    <w:rsid w:val="00776E92"/>
    <w:rsid w:val="007772BE"/>
    <w:rsid w:val="007773FA"/>
    <w:rsid w:val="00777940"/>
    <w:rsid w:val="00777A6F"/>
    <w:rsid w:val="00777ADE"/>
    <w:rsid w:val="00777C02"/>
    <w:rsid w:val="00780D7B"/>
    <w:rsid w:val="00781584"/>
    <w:rsid w:val="00781632"/>
    <w:rsid w:val="007824F8"/>
    <w:rsid w:val="0078271D"/>
    <w:rsid w:val="007827AF"/>
    <w:rsid w:val="007829E5"/>
    <w:rsid w:val="00782BCF"/>
    <w:rsid w:val="00782CAE"/>
    <w:rsid w:val="00783637"/>
    <w:rsid w:val="00783A3B"/>
    <w:rsid w:val="00783E2B"/>
    <w:rsid w:val="00783E93"/>
    <w:rsid w:val="00784158"/>
    <w:rsid w:val="0078423A"/>
    <w:rsid w:val="00784411"/>
    <w:rsid w:val="0078453E"/>
    <w:rsid w:val="007845CE"/>
    <w:rsid w:val="00784630"/>
    <w:rsid w:val="00784724"/>
    <w:rsid w:val="00784A39"/>
    <w:rsid w:val="0078509F"/>
    <w:rsid w:val="00785223"/>
    <w:rsid w:val="007852BA"/>
    <w:rsid w:val="007852BD"/>
    <w:rsid w:val="0078541A"/>
    <w:rsid w:val="00785C26"/>
    <w:rsid w:val="007861D4"/>
    <w:rsid w:val="00786276"/>
    <w:rsid w:val="007865BC"/>
    <w:rsid w:val="007866BE"/>
    <w:rsid w:val="00786A0A"/>
    <w:rsid w:val="00786CA9"/>
    <w:rsid w:val="00786CFE"/>
    <w:rsid w:val="00786E76"/>
    <w:rsid w:val="00787424"/>
    <w:rsid w:val="0078755C"/>
    <w:rsid w:val="00790190"/>
    <w:rsid w:val="007903E3"/>
    <w:rsid w:val="00790934"/>
    <w:rsid w:val="007911C6"/>
    <w:rsid w:val="00791B6D"/>
    <w:rsid w:val="00791BE9"/>
    <w:rsid w:val="00791DC7"/>
    <w:rsid w:val="007925CD"/>
    <w:rsid w:val="007928D7"/>
    <w:rsid w:val="00792C2A"/>
    <w:rsid w:val="0079368E"/>
    <w:rsid w:val="007936D8"/>
    <w:rsid w:val="00793BB2"/>
    <w:rsid w:val="0079444D"/>
    <w:rsid w:val="00794995"/>
    <w:rsid w:val="00794C19"/>
    <w:rsid w:val="00794E7D"/>
    <w:rsid w:val="00795017"/>
    <w:rsid w:val="00796082"/>
    <w:rsid w:val="007968FD"/>
    <w:rsid w:val="00796CDB"/>
    <w:rsid w:val="00796D7C"/>
    <w:rsid w:val="00796FB7"/>
    <w:rsid w:val="00796FDB"/>
    <w:rsid w:val="0079725B"/>
    <w:rsid w:val="00797676"/>
    <w:rsid w:val="007978B9"/>
    <w:rsid w:val="00797B22"/>
    <w:rsid w:val="00797CBB"/>
    <w:rsid w:val="00797E85"/>
    <w:rsid w:val="007A0424"/>
    <w:rsid w:val="007A067B"/>
    <w:rsid w:val="007A0B34"/>
    <w:rsid w:val="007A0EFC"/>
    <w:rsid w:val="007A11A3"/>
    <w:rsid w:val="007A16EE"/>
    <w:rsid w:val="007A1993"/>
    <w:rsid w:val="007A1AF4"/>
    <w:rsid w:val="007A1B14"/>
    <w:rsid w:val="007A1EB3"/>
    <w:rsid w:val="007A27AD"/>
    <w:rsid w:val="007A2D68"/>
    <w:rsid w:val="007A2FE7"/>
    <w:rsid w:val="007A3349"/>
    <w:rsid w:val="007A35B2"/>
    <w:rsid w:val="007A386E"/>
    <w:rsid w:val="007A3910"/>
    <w:rsid w:val="007A3AE1"/>
    <w:rsid w:val="007A3FA4"/>
    <w:rsid w:val="007A41B2"/>
    <w:rsid w:val="007A4427"/>
    <w:rsid w:val="007A490D"/>
    <w:rsid w:val="007A49E8"/>
    <w:rsid w:val="007A4D26"/>
    <w:rsid w:val="007A4D4E"/>
    <w:rsid w:val="007A4EA3"/>
    <w:rsid w:val="007A574D"/>
    <w:rsid w:val="007A57CE"/>
    <w:rsid w:val="007A57CF"/>
    <w:rsid w:val="007A5A4E"/>
    <w:rsid w:val="007A5BFE"/>
    <w:rsid w:val="007A5EDA"/>
    <w:rsid w:val="007A5F74"/>
    <w:rsid w:val="007A6015"/>
    <w:rsid w:val="007A623B"/>
    <w:rsid w:val="007A6366"/>
    <w:rsid w:val="007A66A3"/>
    <w:rsid w:val="007A6AAF"/>
    <w:rsid w:val="007A6B73"/>
    <w:rsid w:val="007A6EB0"/>
    <w:rsid w:val="007A7268"/>
    <w:rsid w:val="007A72C2"/>
    <w:rsid w:val="007A7467"/>
    <w:rsid w:val="007A7793"/>
    <w:rsid w:val="007A77F1"/>
    <w:rsid w:val="007A7C82"/>
    <w:rsid w:val="007A7D5C"/>
    <w:rsid w:val="007A7F26"/>
    <w:rsid w:val="007B07CB"/>
    <w:rsid w:val="007B1014"/>
    <w:rsid w:val="007B11E6"/>
    <w:rsid w:val="007B13C4"/>
    <w:rsid w:val="007B1405"/>
    <w:rsid w:val="007B143C"/>
    <w:rsid w:val="007B15AD"/>
    <w:rsid w:val="007B176C"/>
    <w:rsid w:val="007B1E54"/>
    <w:rsid w:val="007B225B"/>
    <w:rsid w:val="007B2319"/>
    <w:rsid w:val="007B24A3"/>
    <w:rsid w:val="007B24E6"/>
    <w:rsid w:val="007B2BDE"/>
    <w:rsid w:val="007B2ECC"/>
    <w:rsid w:val="007B3580"/>
    <w:rsid w:val="007B39AC"/>
    <w:rsid w:val="007B3A59"/>
    <w:rsid w:val="007B3B7A"/>
    <w:rsid w:val="007B3C38"/>
    <w:rsid w:val="007B3D3A"/>
    <w:rsid w:val="007B3E7D"/>
    <w:rsid w:val="007B4144"/>
    <w:rsid w:val="007B4416"/>
    <w:rsid w:val="007B45B7"/>
    <w:rsid w:val="007B4A4B"/>
    <w:rsid w:val="007B4F37"/>
    <w:rsid w:val="007B51A0"/>
    <w:rsid w:val="007B5273"/>
    <w:rsid w:val="007B5472"/>
    <w:rsid w:val="007B59F1"/>
    <w:rsid w:val="007B5B55"/>
    <w:rsid w:val="007B5DCE"/>
    <w:rsid w:val="007B5DFF"/>
    <w:rsid w:val="007B5EED"/>
    <w:rsid w:val="007B5F38"/>
    <w:rsid w:val="007B5FFE"/>
    <w:rsid w:val="007B61FD"/>
    <w:rsid w:val="007B67D1"/>
    <w:rsid w:val="007B69DC"/>
    <w:rsid w:val="007B6DA0"/>
    <w:rsid w:val="007B6E9A"/>
    <w:rsid w:val="007B6F28"/>
    <w:rsid w:val="007B76CE"/>
    <w:rsid w:val="007B78C0"/>
    <w:rsid w:val="007B7BEF"/>
    <w:rsid w:val="007B7C54"/>
    <w:rsid w:val="007B7D2B"/>
    <w:rsid w:val="007B7E0E"/>
    <w:rsid w:val="007C024A"/>
    <w:rsid w:val="007C02CB"/>
    <w:rsid w:val="007C0CC9"/>
    <w:rsid w:val="007C104F"/>
    <w:rsid w:val="007C163B"/>
    <w:rsid w:val="007C17D1"/>
    <w:rsid w:val="007C1C8C"/>
    <w:rsid w:val="007C20C8"/>
    <w:rsid w:val="007C21F5"/>
    <w:rsid w:val="007C2A3A"/>
    <w:rsid w:val="007C2E85"/>
    <w:rsid w:val="007C31BD"/>
    <w:rsid w:val="007C32F8"/>
    <w:rsid w:val="007C33CF"/>
    <w:rsid w:val="007C346D"/>
    <w:rsid w:val="007C3773"/>
    <w:rsid w:val="007C37BF"/>
    <w:rsid w:val="007C394B"/>
    <w:rsid w:val="007C3A91"/>
    <w:rsid w:val="007C3BBB"/>
    <w:rsid w:val="007C3BDA"/>
    <w:rsid w:val="007C3F65"/>
    <w:rsid w:val="007C3F8A"/>
    <w:rsid w:val="007C3FA6"/>
    <w:rsid w:val="007C4354"/>
    <w:rsid w:val="007C4361"/>
    <w:rsid w:val="007C4C46"/>
    <w:rsid w:val="007C4C5E"/>
    <w:rsid w:val="007C4CC1"/>
    <w:rsid w:val="007C4DC7"/>
    <w:rsid w:val="007C4E3E"/>
    <w:rsid w:val="007C4FE5"/>
    <w:rsid w:val="007C5088"/>
    <w:rsid w:val="007C537F"/>
    <w:rsid w:val="007C542A"/>
    <w:rsid w:val="007C5B2E"/>
    <w:rsid w:val="007C5CB8"/>
    <w:rsid w:val="007C5E6C"/>
    <w:rsid w:val="007C6119"/>
    <w:rsid w:val="007C61C9"/>
    <w:rsid w:val="007C655F"/>
    <w:rsid w:val="007C6F05"/>
    <w:rsid w:val="007C736E"/>
    <w:rsid w:val="007C7A6C"/>
    <w:rsid w:val="007C7B36"/>
    <w:rsid w:val="007D04DA"/>
    <w:rsid w:val="007D0EDC"/>
    <w:rsid w:val="007D12D1"/>
    <w:rsid w:val="007D133C"/>
    <w:rsid w:val="007D1357"/>
    <w:rsid w:val="007D157C"/>
    <w:rsid w:val="007D167D"/>
    <w:rsid w:val="007D1750"/>
    <w:rsid w:val="007D18CF"/>
    <w:rsid w:val="007D19EA"/>
    <w:rsid w:val="007D2120"/>
    <w:rsid w:val="007D23AF"/>
    <w:rsid w:val="007D272B"/>
    <w:rsid w:val="007D278B"/>
    <w:rsid w:val="007D28B9"/>
    <w:rsid w:val="007D2B67"/>
    <w:rsid w:val="007D2C49"/>
    <w:rsid w:val="007D36C4"/>
    <w:rsid w:val="007D3974"/>
    <w:rsid w:val="007D3A7F"/>
    <w:rsid w:val="007D3AC6"/>
    <w:rsid w:val="007D4147"/>
    <w:rsid w:val="007D4424"/>
    <w:rsid w:val="007D44F1"/>
    <w:rsid w:val="007D4588"/>
    <w:rsid w:val="007D466D"/>
    <w:rsid w:val="007D46BB"/>
    <w:rsid w:val="007D4839"/>
    <w:rsid w:val="007D49B3"/>
    <w:rsid w:val="007D4ADD"/>
    <w:rsid w:val="007D4B18"/>
    <w:rsid w:val="007D4F11"/>
    <w:rsid w:val="007D51CC"/>
    <w:rsid w:val="007D5327"/>
    <w:rsid w:val="007D53B8"/>
    <w:rsid w:val="007D54CE"/>
    <w:rsid w:val="007D5B59"/>
    <w:rsid w:val="007D601C"/>
    <w:rsid w:val="007D60FF"/>
    <w:rsid w:val="007D662F"/>
    <w:rsid w:val="007D702A"/>
    <w:rsid w:val="007D70C9"/>
    <w:rsid w:val="007D7247"/>
    <w:rsid w:val="007D7CF0"/>
    <w:rsid w:val="007D7D96"/>
    <w:rsid w:val="007D7DBD"/>
    <w:rsid w:val="007E03DA"/>
    <w:rsid w:val="007E04D6"/>
    <w:rsid w:val="007E070D"/>
    <w:rsid w:val="007E0EA8"/>
    <w:rsid w:val="007E11D1"/>
    <w:rsid w:val="007E1569"/>
    <w:rsid w:val="007E1750"/>
    <w:rsid w:val="007E1B29"/>
    <w:rsid w:val="007E1D21"/>
    <w:rsid w:val="007E1D8F"/>
    <w:rsid w:val="007E21A9"/>
    <w:rsid w:val="007E26D7"/>
    <w:rsid w:val="007E3228"/>
    <w:rsid w:val="007E3784"/>
    <w:rsid w:val="007E3ACC"/>
    <w:rsid w:val="007E3D91"/>
    <w:rsid w:val="007E4AAE"/>
    <w:rsid w:val="007E4C2D"/>
    <w:rsid w:val="007E4CE3"/>
    <w:rsid w:val="007E4D2E"/>
    <w:rsid w:val="007E4D88"/>
    <w:rsid w:val="007E4D9A"/>
    <w:rsid w:val="007E4E96"/>
    <w:rsid w:val="007E4EE4"/>
    <w:rsid w:val="007E514C"/>
    <w:rsid w:val="007E5290"/>
    <w:rsid w:val="007E536E"/>
    <w:rsid w:val="007E56EF"/>
    <w:rsid w:val="007E5AF8"/>
    <w:rsid w:val="007E5F80"/>
    <w:rsid w:val="007E6254"/>
    <w:rsid w:val="007E664E"/>
    <w:rsid w:val="007E69E0"/>
    <w:rsid w:val="007E6DBE"/>
    <w:rsid w:val="007E7201"/>
    <w:rsid w:val="007E7209"/>
    <w:rsid w:val="007E7820"/>
    <w:rsid w:val="007E7839"/>
    <w:rsid w:val="007E7A9B"/>
    <w:rsid w:val="007E7CC7"/>
    <w:rsid w:val="007E7D5A"/>
    <w:rsid w:val="007E7FF6"/>
    <w:rsid w:val="007F03D1"/>
    <w:rsid w:val="007F06F8"/>
    <w:rsid w:val="007F079E"/>
    <w:rsid w:val="007F0A67"/>
    <w:rsid w:val="007F0A9F"/>
    <w:rsid w:val="007F0B0F"/>
    <w:rsid w:val="007F15AF"/>
    <w:rsid w:val="007F1A29"/>
    <w:rsid w:val="007F1E53"/>
    <w:rsid w:val="007F1EE9"/>
    <w:rsid w:val="007F2C16"/>
    <w:rsid w:val="007F2EEC"/>
    <w:rsid w:val="007F30E2"/>
    <w:rsid w:val="007F318E"/>
    <w:rsid w:val="007F337D"/>
    <w:rsid w:val="007F34D6"/>
    <w:rsid w:val="007F3932"/>
    <w:rsid w:val="007F3A40"/>
    <w:rsid w:val="007F3CD6"/>
    <w:rsid w:val="007F3D20"/>
    <w:rsid w:val="007F3E3A"/>
    <w:rsid w:val="007F3FC2"/>
    <w:rsid w:val="007F3FDA"/>
    <w:rsid w:val="007F4412"/>
    <w:rsid w:val="007F45A0"/>
    <w:rsid w:val="007F479A"/>
    <w:rsid w:val="007F4863"/>
    <w:rsid w:val="007F48C2"/>
    <w:rsid w:val="007F5047"/>
    <w:rsid w:val="007F51F6"/>
    <w:rsid w:val="007F532A"/>
    <w:rsid w:val="007F53F3"/>
    <w:rsid w:val="007F549A"/>
    <w:rsid w:val="007F5842"/>
    <w:rsid w:val="007F5E9F"/>
    <w:rsid w:val="007F613C"/>
    <w:rsid w:val="007F65F1"/>
    <w:rsid w:val="007F669C"/>
    <w:rsid w:val="007F6D02"/>
    <w:rsid w:val="007F6D62"/>
    <w:rsid w:val="007F6FD4"/>
    <w:rsid w:val="007F7346"/>
    <w:rsid w:val="007F7B18"/>
    <w:rsid w:val="007F7C1A"/>
    <w:rsid w:val="007F7FC1"/>
    <w:rsid w:val="007F7FD2"/>
    <w:rsid w:val="008000CA"/>
    <w:rsid w:val="00800198"/>
    <w:rsid w:val="008001B4"/>
    <w:rsid w:val="008002DF"/>
    <w:rsid w:val="008009CE"/>
    <w:rsid w:val="0080121F"/>
    <w:rsid w:val="008016B2"/>
    <w:rsid w:val="008018F1"/>
    <w:rsid w:val="00801A03"/>
    <w:rsid w:val="00801F33"/>
    <w:rsid w:val="0080212D"/>
    <w:rsid w:val="00802635"/>
    <w:rsid w:val="00802678"/>
    <w:rsid w:val="0080285A"/>
    <w:rsid w:val="00803167"/>
    <w:rsid w:val="008034C4"/>
    <w:rsid w:val="00803907"/>
    <w:rsid w:val="00803993"/>
    <w:rsid w:val="008039A6"/>
    <w:rsid w:val="00803F9D"/>
    <w:rsid w:val="00804328"/>
    <w:rsid w:val="00804969"/>
    <w:rsid w:val="00804F6F"/>
    <w:rsid w:val="0080596E"/>
    <w:rsid w:val="00805C65"/>
    <w:rsid w:val="008062B3"/>
    <w:rsid w:val="008066C6"/>
    <w:rsid w:val="00806AD1"/>
    <w:rsid w:val="008070DB"/>
    <w:rsid w:val="008078D0"/>
    <w:rsid w:val="00807B30"/>
    <w:rsid w:val="00807BEA"/>
    <w:rsid w:val="00810009"/>
    <w:rsid w:val="008103FD"/>
    <w:rsid w:val="00810485"/>
    <w:rsid w:val="00810684"/>
    <w:rsid w:val="0081089F"/>
    <w:rsid w:val="008109D7"/>
    <w:rsid w:val="00810A48"/>
    <w:rsid w:val="00810A4B"/>
    <w:rsid w:val="00810C27"/>
    <w:rsid w:val="00810D0E"/>
    <w:rsid w:val="00810F3B"/>
    <w:rsid w:val="00810F61"/>
    <w:rsid w:val="00811083"/>
    <w:rsid w:val="00811708"/>
    <w:rsid w:val="00811B30"/>
    <w:rsid w:val="00812013"/>
    <w:rsid w:val="00812043"/>
    <w:rsid w:val="00812252"/>
    <w:rsid w:val="008122B3"/>
    <w:rsid w:val="0081256C"/>
    <w:rsid w:val="008126D6"/>
    <w:rsid w:val="0081292B"/>
    <w:rsid w:val="00812ECC"/>
    <w:rsid w:val="0081311E"/>
    <w:rsid w:val="00813700"/>
    <w:rsid w:val="0081390E"/>
    <w:rsid w:val="00813BC0"/>
    <w:rsid w:val="0081408F"/>
    <w:rsid w:val="00814418"/>
    <w:rsid w:val="00814BB4"/>
    <w:rsid w:val="00814FBB"/>
    <w:rsid w:val="008152C5"/>
    <w:rsid w:val="00815EC9"/>
    <w:rsid w:val="00815F57"/>
    <w:rsid w:val="008162D6"/>
    <w:rsid w:val="0081654A"/>
    <w:rsid w:val="008166BA"/>
    <w:rsid w:val="00816829"/>
    <w:rsid w:val="00816CCD"/>
    <w:rsid w:val="00816CE9"/>
    <w:rsid w:val="00816D9F"/>
    <w:rsid w:val="00817956"/>
    <w:rsid w:val="00817E37"/>
    <w:rsid w:val="00817E69"/>
    <w:rsid w:val="00820409"/>
    <w:rsid w:val="0082041F"/>
    <w:rsid w:val="008204C5"/>
    <w:rsid w:val="0082086C"/>
    <w:rsid w:val="00820C65"/>
    <w:rsid w:val="0082153A"/>
    <w:rsid w:val="0082192C"/>
    <w:rsid w:val="00821A82"/>
    <w:rsid w:val="00821ACA"/>
    <w:rsid w:val="00821B2D"/>
    <w:rsid w:val="00821E92"/>
    <w:rsid w:val="00821FF3"/>
    <w:rsid w:val="0082216E"/>
    <w:rsid w:val="008221EF"/>
    <w:rsid w:val="00822222"/>
    <w:rsid w:val="00822728"/>
    <w:rsid w:val="0082295E"/>
    <w:rsid w:val="00822CDC"/>
    <w:rsid w:val="0082300B"/>
    <w:rsid w:val="00823012"/>
    <w:rsid w:val="00823865"/>
    <w:rsid w:val="00823B44"/>
    <w:rsid w:val="00823E03"/>
    <w:rsid w:val="00823E29"/>
    <w:rsid w:val="008242AF"/>
    <w:rsid w:val="0082458A"/>
    <w:rsid w:val="008246A3"/>
    <w:rsid w:val="008248CA"/>
    <w:rsid w:val="00824AE9"/>
    <w:rsid w:val="00824B5E"/>
    <w:rsid w:val="00825564"/>
    <w:rsid w:val="008256E4"/>
    <w:rsid w:val="008257C6"/>
    <w:rsid w:val="00825978"/>
    <w:rsid w:val="00825A89"/>
    <w:rsid w:val="00826CA8"/>
    <w:rsid w:val="00827002"/>
    <w:rsid w:val="008272B6"/>
    <w:rsid w:val="00827316"/>
    <w:rsid w:val="00827365"/>
    <w:rsid w:val="0082744B"/>
    <w:rsid w:val="008275C6"/>
    <w:rsid w:val="008275D2"/>
    <w:rsid w:val="008278A5"/>
    <w:rsid w:val="00827A42"/>
    <w:rsid w:val="008302B9"/>
    <w:rsid w:val="00830303"/>
    <w:rsid w:val="008307E4"/>
    <w:rsid w:val="00830985"/>
    <w:rsid w:val="00831157"/>
    <w:rsid w:val="008315A2"/>
    <w:rsid w:val="008316D0"/>
    <w:rsid w:val="008317A1"/>
    <w:rsid w:val="00831C44"/>
    <w:rsid w:val="00831CFA"/>
    <w:rsid w:val="00831E20"/>
    <w:rsid w:val="00832013"/>
    <w:rsid w:val="00832130"/>
    <w:rsid w:val="00832198"/>
    <w:rsid w:val="008322E1"/>
    <w:rsid w:val="0083239E"/>
    <w:rsid w:val="008324BA"/>
    <w:rsid w:val="008327D9"/>
    <w:rsid w:val="00832C9B"/>
    <w:rsid w:val="00832E7A"/>
    <w:rsid w:val="0083332E"/>
    <w:rsid w:val="008334A6"/>
    <w:rsid w:val="008334F2"/>
    <w:rsid w:val="00833F68"/>
    <w:rsid w:val="008345C5"/>
    <w:rsid w:val="008347D1"/>
    <w:rsid w:val="00835815"/>
    <w:rsid w:val="0083584C"/>
    <w:rsid w:val="00835932"/>
    <w:rsid w:val="008359D2"/>
    <w:rsid w:val="008359FC"/>
    <w:rsid w:val="00835D04"/>
    <w:rsid w:val="00835E60"/>
    <w:rsid w:val="00835F1F"/>
    <w:rsid w:val="00836019"/>
    <w:rsid w:val="00836140"/>
    <w:rsid w:val="0083618A"/>
    <w:rsid w:val="008362AA"/>
    <w:rsid w:val="00836593"/>
    <w:rsid w:val="008366A7"/>
    <w:rsid w:val="00836C77"/>
    <w:rsid w:val="00837538"/>
    <w:rsid w:val="0083770A"/>
    <w:rsid w:val="0083798C"/>
    <w:rsid w:val="008379F2"/>
    <w:rsid w:val="00837B22"/>
    <w:rsid w:val="00837C69"/>
    <w:rsid w:val="0084005A"/>
    <w:rsid w:val="00840254"/>
    <w:rsid w:val="00840562"/>
    <w:rsid w:val="0084057E"/>
    <w:rsid w:val="00840BC1"/>
    <w:rsid w:val="00840DFD"/>
    <w:rsid w:val="00840EAD"/>
    <w:rsid w:val="00840FAF"/>
    <w:rsid w:val="00841645"/>
    <w:rsid w:val="00841E54"/>
    <w:rsid w:val="00841F94"/>
    <w:rsid w:val="0084225B"/>
    <w:rsid w:val="0084230F"/>
    <w:rsid w:val="008426D8"/>
    <w:rsid w:val="00842916"/>
    <w:rsid w:val="00842CB1"/>
    <w:rsid w:val="00842EA1"/>
    <w:rsid w:val="00843023"/>
    <w:rsid w:val="00843349"/>
    <w:rsid w:val="00843A0D"/>
    <w:rsid w:val="00843F31"/>
    <w:rsid w:val="00844061"/>
    <w:rsid w:val="008442EE"/>
    <w:rsid w:val="00844526"/>
    <w:rsid w:val="00844548"/>
    <w:rsid w:val="008449F1"/>
    <w:rsid w:val="00844ED2"/>
    <w:rsid w:val="00845179"/>
    <w:rsid w:val="00845271"/>
    <w:rsid w:val="0084549A"/>
    <w:rsid w:val="008454AA"/>
    <w:rsid w:val="00845888"/>
    <w:rsid w:val="00845C7D"/>
    <w:rsid w:val="00845E43"/>
    <w:rsid w:val="00845ECE"/>
    <w:rsid w:val="008463BA"/>
    <w:rsid w:val="00846573"/>
    <w:rsid w:val="0084683E"/>
    <w:rsid w:val="00847099"/>
    <w:rsid w:val="00847389"/>
    <w:rsid w:val="0084777B"/>
    <w:rsid w:val="008477A5"/>
    <w:rsid w:val="00847885"/>
    <w:rsid w:val="0085008D"/>
    <w:rsid w:val="00850569"/>
    <w:rsid w:val="00850682"/>
    <w:rsid w:val="00850783"/>
    <w:rsid w:val="00850A1C"/>
    <w:rsid w:val="00850A81"/>
    <w:rsid w:val="00850B6D"/>
    <w:rsid w:val="00850C84"/>
    <w:rsid w:val="00850D19"/>
    <w:rsid w:val="00850DB3"/>
    <w:rsid w:val="008511B1"/>
    <w:rsid w:val="00851AF3"/>
    <w:rsid w:val="00851D75"/>
    <w:rsid w:val="0085201A"/>
    <w:rsid w:val="008521B1"/>
    <w:rsid w:val="00852B59"/>
    <w:rsid w:val="00852F18"/>
    <w:rsid w:val="00853268"/>
    <w:rsid w:val="00853273"/>
    <w:rsid w:val="008539A1"/>
    <w:rsid w:val="008539CC"/>
    <w:rsid w:val="00853E19"/>
    <w:rsid w:val="00854068"/>
    <w:rsid w:val="0085418A"/>
    <w:rsid w:val="008541AE"/>
    <w:rsid w:val="008542B1"/>
    <w:rsid w:val="0085465D"/>
    <w:rsid w:val="00854678"/>
    <w:rsid w:val="0085478A"/>
    <w:rsid w:val="00854B29"/>
    <w:rsid w:val="00854BC8"/>
    <w:rsid w:val="00854BEC"/>
    <w:rsid w:val="00854E00"/>
    <w:rsid w:val="00855163"/>
    <w:rsid w:val="008558BC"/>
    <w:rsid w:val="00856070"/>
    <w:rsid w:val="008564F5"/>
    <w:rsid w:val="00856506"/>
    <w:rsid w:val="0085652C"/>
    <w:rsid w:val="008568B7"/>
    <w:rsid w:val="00856ADF"/>
    <w:rsid w:val="00856B46"/>
    <w:rsid w:val="00856C3A"/>
    <w:rsid w:val="00856D0E"/>
    <w:rsid w:val="00856D57"/>
    <w:rsid w:val="00856F0E"/>
    <w:rsid w:val="00856FF5"/>
    <w:rsid w:val="008570C0"/>
    <w:rsid w:val="008570D3"/>
    <w:rsid w:val="00857658"/>
    <w:rsid w:val="008577D8"/>
    <w:rsid w:val="0086049E"/>
    <w:rsid w:val="008605D4"/>
    <w:rsid w:val="00860653"/>
    <w:rsid w:val="008606B3"/>
    <w:rsid w:val="0086074F"/>
    <w:rsid w:val="00860CC6"/>
    <w:rsid w:val="00860FBF"/>
    <w:rsid w:val="00861404"/>
    <w:rsid w:val="00861F9F"/>
    <w:rsid w:val="00861FA2"/>
    <w:rsid w:val="00862093"/>
    <w:rsid w:val="00862224"/>
    <w:rsid w:val="00862692"/>
    <w:rsid w:val="0086291A"/>
    <w:rsid w:val="00862999"/>
    <w:rsid w:val="00862A5E"/>
    <w:rsid w:val="00862C7E"/>
    <w:rsid w:val="00862C82"/>
    <w:rsid w:val="00863322"/>
    <w:rsid w:val="00863867"/>
    <w:rsid w:val="00863E60"/>
    <w:rsid w:val="00863E93"/>
    <w:rsid w:val="008641FE"/>
    <w:rsid w:val="00864362"/>
    <w:rsid w:val="008647A6"/>
    <w:rsid w:val="00864DC8"/>
    <w:rsid w:val="008659BF"/>
    <w:rsid w:val="00865BBC"/>
    <w:rsid w:val="00865D17"/>
    <w:rsid w:val="00865DCD"/>
    <w:rsid w:val="00865EF0"/>
    <w:rsid w:val="00866A1B"/>
    <w:rsid w:val="00866B28"/>
    <w:rsid w:val="00866DF2"/>
    <w:rsid w:val="00866EAD"/>
    <w:rsid w:val="008673F4"/>
    <w:rsid w:val="00867875"/>
    <w:rsid w:val="00867CD1"/>
    <w:rsid w:val="008700A6"/>
    <w:rsid w:val="0087023F"/>
    <w:rsid w:val="008704A6"/>
    <w:rsid w:val="00870514"/>
    <w:rsid w:val="008706EC"/>
    <w:rsid w:val="008707B5"/>
    <w:rsid w:val="00870AF7"/>
    <w:rsid w:val="00870E9A"/>
    <w:rsid w:val="00870EDF"/>
    <w:rsid w:val="0087107A"/>
    <w:rsid w:val="008710F2"/>
    <w:rsid w:val="0087132D"/>
    <w:rsid w:val="008716C0"/>
    <w:rsid w:val="008719A4"/>
    <w:rsid w:val="008719F7"/>
    <w:rsid w:val="00871C7F"/>
    <w:rsid w:val="00871EEA"/>
    <w:rsid w:val="008720D1"/>
    <w:rsid w:val="0087217C"/>
    <w:rsid w:val="008721BA"/>
    <w:rsid w:val="008721E3"/>
    <w:rsid w:val="008724BC"/>
    <w:rsid w:val="00872794"/>
    <w:rsid w:val="00872A5E"/>
    <w:rsid w:val="00872BAA"/>
    <w:rsid w:val="00872F55"/>
    <w:rsid w:val="008731F3"/>
    <w:rsid w:val="00873879"/>
    <w:rsid w:val="00873A97"/>
    <w:rsid w:val="008741F8"/>
    <w:rsid w:val="0087442A"/>
    <w:rsid w:val="00874C7C"/>
    <w:rsid w:val="00874CFE"/>
    <w:rsid w:val="00875014"/>
    <w:rsid w:val="008756E0"/>
    <w:rsid w:val="0087598D"/>
    <w:rsid w:val="00875A3A"/>
    <w:rsid w:val="00875B5E"/>
    <w:rsid w:val="00876206"/>
    <w:rsid w:val="00876210"/>
    <w:rsid w:val="00876280"/>
    <w:rsid w:val="00876431"/>
    <w:rsid w:val="00876636"/>
    <w:rsid w:val="00876670"/>
    <w:rsid w:val="008768DE"/>
    <w:rsid w:val="008769C2"/>
    <w:rsid w:val="0087735C"/>
    <w:rsid w:val="00877795"/>
    <w:rsid w:val="00877B4C"/>
    <w:rsid w:val="00877D0F"/>
    <w:rsid w:val="008800BC"/>
    <w:rsid w:val="00880B43"/>
    <w:rsid w:val="00880D87"/>
    <w:rsid w:val="008811BA"/>
    <w:rsid w:val="008818FB"/>
    <w:rsid w:val="008819E3"/>
    <w:rsid w:val="00881BC5"/>
    <w:rsid w:val="00881D22"/>
    <w:rsid w:val="008822B6"/>
    <w:rsid w:val="008822FC"/>
    <w:rsid w:val="00882885"/>
    <w:rsid w:val="008829BC"/>
    <w:rsid w:val="00882F9F"/>
    <w:rsid w:val="008832A8"/>
    <w:rsid w:val="008838D7"/>
    <w:rsid w:val="00883CBD"/>
    <w:rsid w:val="00883D7D"/>
    <w:rsid w:val="0088495B"/>
    <w:rsid w:val="00884DEB"/>
    <w:rsid w:val="00885171"/>
    <w:rsid w:val="008851BC"/>
    <w:rsid w:val="0088526B"/>
    <w:rsid w:val="00885C00"/>
    <w:rsid w:val="00885D7A"/>
    <w:rsid w:val="00886362"/>
    <w:rsid w:val="00886506"/>
    <w:rsid w:val="00886806"/>
    <w:rsid w:val="00886CDD"/>
    <w:rsid w:val="0088700F"/>
    <w:rsid w:val="008870EF"/>
    <w:rsid w:val="0088771C"/>
    <w:rsid w:val="00887A6F"/>
    <w:rsid w:val="00887CD1"/>
    <w:rsid w:val="0089023C"/>
    <w:rsid w:val="0089070D"/>
    <w:rsid w:val="00890740"/>
    <w:rsid w:val="00890E4D"/>
    <w:rsid w:val="00891015"/>
    <w:rsid w:val="0089126E"/>
    <w:rsid w:val="0089128D"/>
    <w:rsid w:val="00891757"/>
    <w:rsid w:val="0089180D"/>
    <w:rsid w:val="00891DF3"/>
    <w:rsid w:val="00891EB5"/>
    <w:rsid w:val="00891FAF"/>
    <w:rsid w:val="00892D15"/>
    <w:rsid w:val="00892E17"/>
    <w:rsid w:val="00892F4C"/>
    <w:rsid w:val="00892F4F"/>
    <w:rsid w:val="00893600"/>
    <w:rsid w:val="00893CE5"/>
    <w:rsid w:val="00893F18"/>
    <w:rsid w:val="00894F92"/>
    <w:rsid w:val="008954BF"/>
    <w:rsid w:val="008955AD"/>
    <w:rsid w:val="008956C8"/>
    <w:rsid w:val="00895AA9"/>
    <w:rsid w:val="008960A2"/>
    <w:rsid w:val="008960F9"/>
    <w:rsid w:val="0089613A"/>
    <w:rsid w:val="00896297"/>
    <w:rsid w:val="0089665E"/>
    <w:rsid w:val="008969A5"/>
    <w:rsid w:val="00896BB2"/>
    <w:rsid w:val="00896C8E"/>
    <w:rsid w:val="00896D5B"/>
    <w:rsid w:val="00896E62"/>
    <w:rsid w:val="008972B5"/>
    <w:rsid w:val="008976EF"/>
    <w:rsid w:val="00897991"/>
    <w:rsid w:val="00897CE5"/>
    <w:rsid w:val="008A0910"/>
    <w:rsid w:val="008A0A51"/>
    <w:rsid w:val="008A0A56"/>
    <w:rsid w:val="008A0C47"/>
    <w:rsid w:val="008A157C"/>
    <w:rsid w:val="008A173B"/>
    <w:rsid w:val="008A190B"/>
    <w:rsid w:val="008A1D66"/>
    <w:rsid w:val="008A1F1F"/>
    <w:rsid w:val="008A1FD8"/>
    <w:rsid w:val="008A21F0"/>
    <w:rsid w:val="008A225A"/>
    <w:rsid w:val="008A2272"/>
    <w:rsid w:val="008A22A3"/>
    <w:rsid w:val="008A2354"/>
    <w:rsid w:val="008A2577"/>
    <w:rsid w:val="008A259E"/>
    <w:rsid w:val="008A276A"/>
    <w:rsid w:val="008A281C"/>
    <w:rsid w:val="008A28B3"/>
    <w:rsid w:val="008A2986"/>
    <w:rsid w:val="008A349A"/>
    <w:rsid w:val="008A4393"/>
    <w:rsid w:val="008A449D"/>
    <w:rsid w:val="008A4532"/>
    <w:rsid w:val="008A49AB"/>
    <w:rsid w:val="008A4F6D"/>
    <w:rsid w:val="008A50C1"/>
    <w:rsid w:val="008A54FA"/>
    <w:rsid w:val="008A5C1D"/>
    <w:rsid w:val="008A5DA7"/>
    <w:rsid w:val="008A66C8"/>
    <w:rsid w:val="008A68DB"/>
    <w:rsid w:val="008A6C34"/>
    <w:rsid w:val="008A6F1C"/>
    <w:rsid w:val="008A6FA7"/>
    <w:rsid w:val="008A6FEB"/>
    <w:rsid w:val="008A7076"/>
    <w:rsid w:val="008A7665"/>
    <w:rsid w:val="008B008F"/>
    <w:rsid w:val="008B0238"/>
    <w:rsid w:val="008B07F6"/>
    <w:rsid w:val="008B0BB2"/>
    <w:rsid w:val="008B0DBD"/>
    <w:rsid w:val="008B13E8"/>
    <w:rsid w:val="008B1407"/>
    <w:rsid w:val="008B17A7"/>
    <w:rsid w:val="008B18FB"/>
    <w:rsid w:val="008B19BE"/>
    <w:rsid w:val="008B1A29"/>
    <w:rsid w:val="008B1A65"/>
    <w:rsid w:val="008B1BCC"/>
    <w:rsid w:val="008B1CF6"/>
    <w:rsid w:val="008B1D79"/>
    <w:rsid w:val="008B2C60"/>
    <w:rsid w:val="008B2CF1"/>
    <w:rsid w:val="008B2E54"/>
    <w:rsid w:val="008B3172"/>
    <w:rsid w:val="008B38AF"/>
    <w:rsid w:val="008B3EF9"/>
    <w:rsid w:val="008B4176"/>
    <w:rsid w:val="008B4239"/>
    <w:rsid w:val="008B45C5"/>
    <w:rsid w:val="008B4B30"/>
    <w:rsid w:val="008B4B3A"/>
    <w:rsid w:val="008B4CEC"/>
    <w:rsid w:val="008B52C3"/>
    <w:rsid w:val="008B535D"/>
    <w:rsid w:val="008B5408"/>
    <w:rsid w:val="008B5895"/>
    <w:rsid w:val="008B58E5"/>
    <w:rsid w:val="008B659A"/>
    <w:rsid w:val="008B6822"/>
    <w:rsid w:val="008B69DB"/>
    <w:rsid w:val="008B6D91"/>
    <w:rsid w:val="008B708D"/>
    <w:rsid w:val="008B71D6"/>
    <w:rsid w:val="008B7774"/>
    <w:rsid w:val="008B7827"/>
    <w:rsid w:val="008B7DE7"/>
    <w:rsid w:val="008C004F"/>
    <w:rsid w:val="008C022A"/>
    <w:rsid w:val="008C04E0"/>
    <w:rsid w:val="008C0B37"/>
    <w:rsid w:val="008C0CE3"/>
    <w:rsid w:val="008C0E75"/>
    <w:rsid w:val="008C10C7"/>
    <w:rsid w:val="008C1842"/>
    <w:rsid w:val="008C191E"/>
    <w:rsid w:val="008C1CE4"/>
    <w:rsid w:val="008C2019"/>
    <w:rsid w:val="008C21C6"/>
    <w:rsid w:val="008C2263"/>
    <w:rsid w:val="008C265F"/>
    <w:rsid w:val="008C2AEF"/>
    <w:rsid w:val="008C2C7D"/>
    <w:rsid w:val="008C34FF"/>
    <w:rsid w:val="008C370D"/>
    <w:rsid w:val="008C3B9D"/>
    <w:rsid w:val="008C4620"/>
    <w:rsid w:val="008C46AB"/>
    <w:rsid w:val="008C4763"/>
    <w:rsid w:val="008C4904"/>
    <w:rsid w:val="008C499D"/>
    <w:rsid w:val="008C4A31"/>
    <w:rsid w:val="008C4AE8"/>
    <w:rsid w:val="008C4B98"/>
    <w:rsid w:val="008C4C81"/>
    <w:rsid w:val="008C4D8E"/>
    <w:rsid w:val="008C4EC0"/>
    <w:rsid w:val="008C5141"/>
    <w:rsid w:val="008C55B7"/>
    <w:rsid w:val="008C55FC"/>
    <w:rsid w:val="008C565F"/>
    <w:rsid w:val="008C592F"/>
    <w:rsid w:val="008C5D3B"/>
    <w:rsid w:val="008C636B"/>
    <w:rsid w:val="008C64E3"/>
    <w:rsid w:val="008C6838"/>
    <w:rsid w:val="008C6A84"/>
    <w:rsid w:val="008C6BAE"/>
    <w:rsid w:val="008C6E26"/>
    <w:rsid w:val="008C7670"/>
    <w:rsid w:val="008C7BD1"/>
    <w:rsid w:val="008C7DC8"/>
    <w:rsid w:val="008D0072"/>
    <w:rsid w:val="008D035E"/>
    <w:rsid w:val="008D0577"/>
    <w:rsid w:val="008D07E2"/>
    <w:rsid w:val="008D098A"/>
    <w:rsid w:val="008D1023"/>
    <w:rsid w:val="008D1863"/>
    <w:rsid w:val="008D18DD"/>
    <w:rsid w:val="008D19B1"/>
    <w:rsid w:val="008D19C5"/>
    <w:rsid w:val="008D19ED"/>
    <w:rsid w:val="008D1E8F"/>
    <w:rsid w:val="008D1FA7"/>
    <w:rsid w:val="008D22CC"/>
    <w:rsid w:val="008D2545"/>
    <w:rsid w:val="008D266D"/>
    <w:rsid w:val="008D308B"/>
    <w:rsid w:val="008D3102"/>
    <w:rsid w:val="008D35F5"/>
    <w:rsid w:val="008D39A2"/>
    <w:rsid w:val="008D3D7B"/>
    <w:rsid w:val="008D3FEE"/>
    <w:rsid w:val="008D4032"/>
    <w:rsid w:val="008D412A"/>
    <w:rsid w:val="008D46A4"/>
    <w:rsid w:val="008D4B68"/>
    <w:rsid w:val="008D4BB4"/>
    <w:rsid w:val="008D4EED"/>
    <w:rsid w:val="008D4FDE"/>
    <w:rsid w:val="008D5582"/>
    <w:rsid w:val="008D56CA"/>
    <w:rsid w:val="008D5800"/>
    <w:rsid w:val="008D5BF2"/>
    <w:rsid w:val="008D5D42"/>
    <w:rsid w:val="008D5DED"/>
    <w:rsid w:val="008D603F"/>
    <w:rsid w:val="008D61B6"/>
    <w:rsid w:val="008D6238"/>
    <w:rsid w:val="008D6385"/>
    <w:rsid w:val="008D640A"/>
    <w:rsid w:val="008D64F6"/>
    <w:rsid w:val="008D65BF"/>
    <w:rsid w:val="008D665A"/>
    <w:rsid w:val="008D665D"/>
    <w:rsid w:val="008D6986"/>
    <w:rsid w:val="008D6A31"/>
    <w:rsid w:val="008D6B6B"/>
    <w:rsid w:val="008D6BEA"/>
    <w:rsid w:val="008D6DCD"/>
    <w:rsid w:val="008D6DCE"/>
    <w:rsid w:val="008D743A"/>
    <w:rsid w:val="008D7525"/>
    <w:rsid w:val="008E090A"/>
    <w:rsid w:val="008E0B22"/>
    <w:rsid w:val="008E0ECF"/>
    <w:rsid w:val="008E0EEF"/>
    <w:rsid w:val="008E103D"/>
    <w:rsid w:val="008E127E"/>
    <w:rsid w:val="008E184D"/>
    <w:rsid w:val="008E1F9D"/>
    <w:rsid w:val="008E2114"/>
    <w:rsid w:val="008E258C"/>
    <w:rsid w:val="008E2AA8"/>
    <w:rsid w:val="008E2B2C"/>
    <w:rsid w:val="008E2B8E"/>
    <w:rsid w:val="008E3500"/>
    <w:rsid w:val="008E36D4"/>
    <w:rsid w:val="008E3763"/>
    <w:rsid w:val="008E3AAA"/>
    <w:rsid w:val="008E3DCD"/>
    <w:rsid w:val="008E42AD"/>
    <w:rsid w:val="008E430C"/>
    <w:rsid w:val="008E4318"/>
    <w:rsid w:val="008E447D"/>
    <w:rsid w:val="008E4614"/>
    <w:rsid w:val="008E5026"/>
    <w:rsid w:val="008E5051"/>
    <w:rsid w:val="008E53A4"/>
    <w:rsid w:val="008E5999"/>
    <w:rsid w:val="008E5B27"/>
    <w:rsid w:val="008E5D64"/>
    <w:rsid w:val="008E5D7B"/>
    <w:rsid w:val="008E5EBA"/>
    <w:rsid w:val="008E5FB4"/>
    <w:rsid w:val="008E6679"/>
    <w:rsid w:val="008E6D0A"/>
    <w:rsid w:val="008E70E1"/>
    <w:rsid w:val="008E7570"/>
    <w:rsid w:val="008E76A5"/>
    <w:rsid w:val="008E7A67"/>
    <w:rsid w:val="008E7C6B"/>
    <w:rsid w:val="008E7D76"/>
    <w:rsid w:val="008F048B"/>
    <w:rsid w:val="008F04A5"/>
    <w:rsid w:val="008F06D5"/>
    <w:rsid w:val="008F08F2"/>
    <w:rsid w:val="008F0B48"/>
    <w:rsid w:val="008F12F6"/>
    <w:rsid w:val="008F17E5"/>
    <w:rsid w:val="008F1B0D"/>
    <w:rsid w:val="008F230D"/>
    <w:rsid w:val="008F2317"/>
    <w:rsid w:val="008F2439"/>
    <w:rsid w:val="008F2988"/>
    <w:rsid w:val="008F2ADA"/>
    <w:rsid w:val="008F2DB8"/>
    <w:rsid w:val="008F2E73"/>
    <w:rsid w:val="008F2EF7"/>
    <w:rsid w:val="008F2F1A"/>
    <w:rsid w:val="008F35C1"/>
    <w:rsid w:val="008F363B"/>
    <w:rsid w:val="008F389C"/>
    <w:rsid w:val="008F40A5"/>
    <w:rsid w:val="008F4265"/>
    <w:rsid w:val="008F42DC"/>
    <w:rsid w:val="008F42EC"/>
    <w:rsid w:val="008F4355"/>
    <w:rsid w:val="008F44B4"/>
    <w:rsid w:val="008F4562"/>
    <w:rsid w:val="008F466B"/>
    <w:rsid w:val="008F4F4E"/>
    <w:rsid w:val="008F52D1"/>
    <w:rsid w:val="008F581B"/>
    <w:rsid w:val="008F58B0"/>
    <w:rsid w:val="008F6209"/>
    <w:rsid w:val="008F682D"/>
    <w:rsid w:val="008F6872"/>
    <w:rsid w:val="008F69DB"/>
    <w:rsid w:val="008F6AD1"/>
    <w:rsid w:val="008F6D0B"/>
    <w:rsid w:val="008F6DE6"/>
    <w:rsid w:val="008F6F66"/>
    <w:rsid w:val="008F7229"/>
    <w:rsid w:val="008F7517"/>
    <w:rsid w:val="008F7574"/>
    <w:rsid w:val="008F7596"/>
    <w:rsid w:val="008F7895"/>
    <w:rsid w:val="008F7CFE"/>
    <w:rsid w:val="008F7F55"/>
    <w:rsid w:val="00900219"/>
    <w:rsid w:val="009006F1"/>
    <w:rsid w:val="00900715"/>
    <w:rsid w:val="00900802"/>
    <w:rsid w:val="0090092C"/>
    <w:rsid w:val="00900B4E"/>
    <w:rsid w:val="00901186"/>
    <w:rsid w:val="00901407"/>
    <w:rsid w:val="00901A60"/>
    <w:rsid w:val="0090233C"/>
    <w:rsid w:val="0090263B"/>
    <w:rsid w:val="009027A9"/>
    <w:rsid w:val="009027E2"/>
    <w:rsid w:val="00902879"/>
    <w:rsid w:val="009031B0"/>
    <w:rsid w:val="0090331E"/>
    <w:rsid w:val="00903512"/>
    <w:rsid w:val="009036EF"/>
    <w:rsid w:val="00903ADA"/>
    <w:rsid w:val="009045D5"/>
    <w:rsid w:val="00904900"/>
    <w:rsid w:val="00904A89"/>
    <w:rsid w:val="00904A8F"/>
    <w:rsid w:val="00904C69"/>
    <w:rsid w:val="00905008"/>
    <w:rsid w:val="009052A0"/>
    <w:rsid w:val="0090539B"/>
    <w:rsid w:val="0090540E"/>
    <w:rsid w:val="00905AD7"/>
    <w:rsid w:val="00905CD6"/>
    <w:rsid w:val="0090619C"/>
    <w:rsid w:val="009062E3"/>
    <w:rsid w:val="009064DC"/>
    <w:rsid w:val="009066A2"/>
    <w:rsid w:val="00906903"/>
    <w:rsid w:val="009069D7"/>
    <w:rsid w:val="00906A03"/>
    <w:rsid w:val="009075F9"/>
    <w:rsid w:val="00907836"/>
    <w:rsid w:val="00907A60"/>
    <w:rsid w:val="009100A1"/>
    <w:rsid w:val="00910FB2"/>
    <w:rsid w:val="00911040"/>
    <w:rsid w:val="00911504"/>
    <w:rsid w:val="009119A7"/>
    <w:rsid w:val="009125A7"/>
    <w:rsid w:val="0091266C"/>
    <w:rsid w:val="00912B4B"/>
    <w:rsid w:val="00912C0F"/>
    <w:rsid w:val="00912DCF"/>
    <w:rsid w:val="00912E14"/>
    <w:rsid w:val="009135EE"/>
    <w:rsid w:val="0091390F"/>
    <w:rsid w:val="009139E5"/>
    <w:rsid w:val="00913AD8"/>
    <w:rsid w:val="00913BF0"/>
    <w:rsid w:val="00913C31"/>
    <w:rsid w:val="009140EB"/>
    <w:rsid w:val="009146D4"/>
    <w:rsid w:val="0091495B"/>
    <w:rsid w:val="00914A02"/>
    <w:rsid w:val="00914E6B"/>
    <w:rsid w:val="00915443"/>
    <w:rsid w:val="009154DB"/>
    <w:rsid w:val="00915863"/>
    <w:rsid w:val="00915B03"/>
    <w:rsid w:val="00915D85"/>
    <w:rsid w:val="00915DD5"/>
    <w:rsid w:val="009160B2"/>
    <w:rsid w:val="009163D1"/>
    <w:rsid w:val="00916422"/>
    <w:rsid w:val="0091750B"/>
    <w:rsid w:val="00917839"/>
    <w:rsid w:val="00917B64"/>
    <w:rsid w:val="00917BDF"/>
    <w:rsid w:val="009203DA"/>
    <w:rsid w:val="009204BA"/>
    <w:rsid w:val="00920549"/>
    <w:rsid w:val="009205A9"/>
    <w:rsid w:val="0092086F"/>
    <w:rsid w:val="00920C37"/>
    <w:rsid w:val="00920F73"/>
    <w:rsid w:val="0092114C"/>
    <w:rsid w:val="0092158E"/>
    <w:rsid w:val="009216BC"/>
    <w:rsid w:val="00921B31"/>
    <w:rsid w:val="00921DFC"/>
    <w:rsid w:val="00922086"/>
    <w:rsid w:val="00922263"/>
    <w:rsid w:val="00922A38"/>
    <w:rsid w:val="00922AE2"/>
    <w:rsid w:val="00922E3B"/>
    <w:rsid w:val="00922E5B"/>
    <w:rsid w:val="00922EB4"/>
    <w:rsid w:val="00923263"/>
    <w:rsid w:val="00923AC5"/>
    <w:rsid w:val="00923E4B"/>
    <w:rsid w:val="00923EE0"/>
    <w:rsid w:val="00923F60"/>
    <w:rsid w:val="0092435F"/>
    <w:rsid w:val="009257B5"/>
    <w:rsid w:val="00925809"/>
    <w:rsid w:val="009258A5"/>
    <w:rsid w:val="00925A1E"/>
    <w:rsid w:val="00925E8E"/>
    <w:rsid w:val="009260CB"/>
    <w:rsid w:val="009263BC"/>
    <w:rsid w:val="009263D6"/>
    <w:rsid w:val="00926563"/>
    <w:rsid w:val="009265D1"/>
    <w:rsid w:val="009266CC"/>
    <w:rsid w:val="00926A3D"/>
    <w:rsid w:val="00926A79"/>
    <w:rsid w:val="00926AB7"/>
    <w:rsid w:val="00926B2B"/>
    <w:rsid w:val="0092726C"/>
    <w:rsid w:val="009273BA"/>
    <w:rsid w:val="00927A43"/>
    <w:rsid w:val="00930042"/>
    <w:rsid w:val="00930068"/>
    <w:rsid w:val="00930150"/>
    <w:rsid w:val="0093081A"/>
    <w:rsid w:val="00930A2B"/>
    <w:rsid w:val="00931347"/>
    <w:rsid w:val="00931811"/>
    <w:rsid w:val="0093187E"/>
    <w:rsid w:val="00931AE7"/>
    <w:rsid w:val="0093208C"/>
    <w:rsid w:val="00932454"/>
    <w:rsid w:val="009324A5"/>
    <w:rsid w:val="009328C2"/>
    <w:rsid w:val="00932B5F"/>
    <w:rsid w:val="00932F82"/>
    <w:rsid w:val="00933226"/>
    <w:rsid w:val="0093338D"/>
    <w:rsid w:val="0093374A"/>
    <w:rsid w:val="00933CFD"/>
    <w:rsid w:val="00933E1E"/>
    <w:rsid w:val="009342C8"/>
    <w:rsid w:val="009347D7"/>
    <w:rsid w:val="009348C0"/>
    <w:rsid w:val="00934FBC"/>
    <w:rsid w:val="00934FE1"/>
    <w:rsid w:val="0093553B"/>
    <w:rsid w:val="00936D16"/>
    <w:rsid w:val="00937806"/>
    <w:rsid w:val="00937A65"/>
    <w:rsid w:val="00937BF6"/>
    <w:rsid w:val="00940078"/>
    <w:rsid w:val="00940731"/>
    <w:rsid w:val="00940A9F"/>
    <w:rsid w:val="00940D67"/>
    <w:rsid w:val="00941061"/>
    <w:rsid w:val="0094116A"/>
    <w:rsid w:val="0094122A"/>
    <w:rsid w:val="0094125F"/>
    <w:rsid w:val="009417EC"/>
    <w:rsid w:val="00941812"/>
    <w:rsid w:val="00941CEE"/>
    <w:rsid w:val="009421AF"/>
    <w:rsid w:val="00942703"/>
    <w:rsid w:val="00942887"/>
    <w:rsid w:val="00942AF3"/>
    <w:rsid w:val="009431D5"/>
    <w:rsid w:val="00943B1B"/>
    <w:rsid w:val="00943F29"/>
    <w:rsid w:val="00944578"/>
    <w:rsid w:val="00944852"/>
    <w:rsid w:val="00944929"/>
    <w:rsid w:val="0094497A"/>
    <w:rsid w:val="00944D5C"/>
    <w:rsid w:val="00945745"/>
    <w:rsid w:val="00946248"/>
    <w:rsid w:val="009462B5"/>
    <w:rsid w:val="009463E3"/>
    <w:rsid w:val="0094654C"/>
    <w:rsid w:val="00946804"/>
    <w:rsid w:val="0094685A"/>
    <w:rsid w:val="0094692C"/>
    <w:rsid w:val="00946B87"/>
    <w:rsid w:val="00947055"/>
    <w:rsid w:val="0094720A"/>
    <w:rsid w:val="00947430"/>
    <w:rsid w:val="00947479"/>
    <w:rsid w:val="009475CF"/>
    <w:rsid w:val="00947957"/>
    <w:rsid w:val="00950076"/>
    <w:rsid w:val="0095035A"/>
    <w:rsid w:val="0095054F"/>
    <w:rsid w:val="0095062E"/>
    <w:rsid w:val="009506FB"/>
    <w:rsid w:val="00950C4F"/>
    <w:rsid w:val="00950CC0"/>
    <w:rsid w:val="00951097"/>
    <w:rsid w:val="009512B8"/>
    <w:rsid w:val="00951673"/>
    <w:rsid w:val="0095176D"/>
    <w:rsid w:val="00951799"/>
    <w:rsid w:val="00951800"/>
    <w:rsid w:val="009519BD"/>
    <w:rsid w:val="00951A84"/>
    <w:rsid w:val="00951E8E"/>
    <w:rsid w:val="00951ECA"/>
    <w:rsid w:val="00952410"/>
    <w:rsid w:val="009526D3"/>
    <w:rsid w:val="009529DD"/>
    <w:rsid w:val="00952A86"/>
    <w:rsid w:val="00952AC0"/>
    <w:rsid w:val="00952B54"/>
    <w:rsid w:val="00952E5F"/>
    <w:rsid w:val="00952F1C"/>
    <w:rsid w:val="0095303D"/>
    <w:rsid w:val="009531FD"/>
    <w:rsid w:val="009532CD"/>
    <w:rsid w:val="009539A1"/>
    <w:rsid w:val="00953A0E"/>
    <w:rsid w:val="00953C43"/>
    <w:rsid w:val="00953D20"/>
    <w:rsid w:val="00953D86"/>
    <w:rsid w:val="0095428A"/>
    <w:rsid w:val="009542B3"/>
    <w:rsid w:val="009544BD"/>
    <w:rsid w:val="00954842"/>
    <w:rsid w:val="00955021"/>
    <w:rsid w:val="009553D0"/>
    <w:rsid w:val="0095587E"/>
    <w:rsid w:val="0095594E"/>
    <w:rsid w:val="00955A23"/>
    <w:rsid w:val="00955BA0"/>
    <w:rsid w:val="00955D35"/>
    <w:rsid w:val="00955E7A"/>
    <w:rsid w:val="009563EA"/>
    <w:rsid w:val="00956BF1"/>
    <w:rsid w:val="00956C78"/>
    <w:rsid w:val="00956FF3"/>
    <w:rsid w:val="00957081"/>
    <w:rsid w:val="00957089"/>
    <w:rsid w:val="00957092"/>
    <w:rsid w:val="00957128"/>
    <w:rsid w:val="009573AD"/>
    <w:rsid w:val="00957E59"/>
    <w:rsid w:val="0096002E"/>
    <w:rsid w:val="009600A7"/>
    <w:rsid w:val="0096012C"/>
    <w:rsid w:val="009601C3"/>
    <w:rsid w:val="00960359"/>
    <w:rsid w:val="0096039A"/>
    <w:rsid w:val="00960BCF"/>
    <w:rsid w:val="009610F0"/>
    <w:rsid w:val="00961452"/>
    <w:rsid w:val="00961525"/>
    <w:rsid w:val="009617FB"/>
    <w:rsid w:val="00961D2E"/>
    <w:rsid w:val="00961F03"/>
    <w:rsid w:val="00962434"/>
    <w:rsid w:val="009624E1"/>
    <w:rsid w:val="009625C7"/>
    <w:rsid w:val="0096293E"/>
    <w:rsid w:val="00962B06"/>
    <w:rsid w:val="00962DB3"/>
    <w:rsid w:val="00962DE3"/>
    <w:rsid w:val="00962ED4"/>
    <w:rsid w:val="00963AFB"/>
    <w:rsid w:val="00963BA6"/>
    <w:rsid w:val="00963F11"/>
    <w:rsid w:val="00963F8C"/>
    <w:rsid w:val="0096486F"/>
    <w:rsid w:val="00964D3D"/>
    <w:rsid w:val="00964EDF"/>
    <w:rsid w:val="0096511C"/>
    <w:rsid w:val="009652CE"/>
    <w:rsid w:val="0096541F"/>
    <w:rsid w:val="0096564E"/>
    <w:rsid w:val="009656EC"/>
    <w:rsid w:val="00965A88"/>
    <w:rsid w:val="00965ADB"/>
    <w:rsid w:val="00965D57"/>
    <w:rsid w:val="00965F1C"/>
    <w:rsid w:val="0096622C"/>
    <w:rsid w:val="009663A5"/>
    <w:rsid w:val="009664C2"/>
    <w:rsid w:val="00966588"/>
    <w:rsid w:val="00966701"/>
    <w:rsid w:val="00966BDF"/>
    <w:rsid w:val="0096701E"/>
    <w:rsid w:val="009674A7"/>
    <w:rsid w:val="009679FC"/>
    <w:rsid w:val="00967C47"/>
    <w:rsid w:val="00967D50"/>
    <w:rsid w:val="00967F57"/>
    <w:rsid w:val="00970132"/>
    <w:rsid w:val="0097038B"/>
    <w:rsid w:val="009705B2"/>
    <w:rsid w:val="009709D4"/>
    <w:rsid w:val="00970B34"/>
    <w:rsid w:val="00970E45"/>
    <w:rsid w:val="0097121D"/>
    <w:rsid w:val="0097122A"/>
    <w:rsid w:val="009713BE"/>
    <w:rsid w:val="0097195A"/>
    <w:rsid w:val="00971A6F"/>
    <w:rsid w:val="0097227C"/>
    <w:rsid w:val="00972833"/>
    <w:rsid w:val="009732C2"/>
    <w:rsid w:val="00973324"/>
    <w:rsid w:val="009734F6"/>
    <w:rsid w:val="0097358E"/>
    <w:rsid w:val="00973603"/>
    <w:rsid w:val="00973742"/>
    <w:rsid w:val="00973812"/>
    <w:rsid w:val="00973B40"/>
    <w:rsid w:val="00973EBF"/>
    <w:rsid w:val="00973F47"/>
    <w:rsid w:val="00973FA0"/>
    <w:rsid w:val="00974345"/>
    <w:rsid w:val="009748EB"/>
    <w:rsid w:val="009749E9"/>
    <w:rsid w:val="00974D5B"/>
    <w:rsid w:val="00975094"/>
    <w:rsid w:val="0097540E"/>
    <w:rsid w:val="00976012"/>
    <w:rsid w:val="00976091"/>
    <w:rsid w:val="00976A79"/>
    <w:rsid w:val="009770B8"/>
    <w:rsid w:val="009772B1"/>
    <w:rsid w:val="009776CB"/>
    <w:rsid w:val="00977CF5"/>
    <w:rsid w:val="00977E0B"/>
    <w:rsid w:val="00980674"/>
    <w:rsid w:val="00980885"/>
    <w:rsid w:val="00980A0F"/>
    <w:rsid w:val="00980B95"/>
    <w:rsid w:val="00981316"/>
    <w:rsid w:val="009813D5"/>
    <w:rsid w:val="00981905"/>
    <w:rsid w:val="00981AD7"/>
    <w:rsid w:val="00981B47"/>
    <w:rsid w:val="00981C4C"/>
    <w:rsid w:val="00981E0D"/>
    <w:rsid w:val="00981F8B"/>
    <w:rsid w:val="009825F3"/>
    <w:rsid w:val="009826DA"/>
    <w:rsid w:val="00982EAD"/>
    <w:rsid w:val="00983278"/>
    <w:rsid w:val="00983529"/>
    <w:rsid w:val="0098384D"/>
    <w:rsid w:val="00983F91"/>
    <w:rsid w:val="00984030"/>
    <w:rsid w:val="009840A5"/>
    <w:rsid w:val="009842B5"/>
    <w:rsid w:val="009844E0"/>
    <w:rsid w:val="009848FA"/>
    <w:rsid w:val="009849AD"/>
    <w:rsid w:val="00984D58"/>
    <w:rsid w:val="00985232"/>
    <w:rsid w:val="009856E5"/>
    <w:rsid w:val="00985823"/>
    <w:rsid w:val="00985EAA"/>
    <w:rsid w:val="00986B4E"/>
    <w:rsid w:val="00986D50"/>
    <w:rsid w:val="00986E49"/>
    <w:rsid w:val="00986F0B"/>
    <w:rsid w:val="009874B1"/>
    <w:rsid w:val="0098790A"/>
    <w:rsid w:val="00987C57"/>
    <w:rsid w:val="009900DB"/>
    <w:rsid w:val="009900EE"/>
    <w:rsid w:val="009902D5"/>
    <w:rsid w:val="00990B29"/>
    <w:rsid w:val="00990CEC"/>
    <w:rsid w:val="00990E59"/>
    <w:rsid w:val="00991130"/>
    <w:rsid w:val="009915AE"/>
    <w:rsid w:val="009916DA"/>
    <w:rsid w:val="00991A3A"/>
    <w:rsid w:val="00992097"/>
    <w:rsid w:val="009921AA"/>
    <w:rsid w:val="0099240A"/>
    <w:rsid w:val="009926CE"/>
    <w:rsid w:val="00992846"/>
    <w:rsid w:val="0099287C"/>
    <w:rsid w:val="00992E8D"/>
    <w:rsid w:val="009930CF"/>
    <w:rsid w:val="00993178"/>
    <w:rsid w:val="009934A1"/>
    <w:rsid w:val="009934BB"/>
    <w:rsid w:val="00993CBD"/>
    <w:rsid w:val="00994336"/>
    <w:rsid w:val="009944A0"/>
    <w:rsid w:val="00994588"/>
    <w:rsid w:val="00994743"/>
    <w:rsid w:val="00994C55"/>
    <w:rsid w:val="00994D81"/>
    <w:rsid w:val="00994DBB"/>
    <w:rsid w:val="009955F5"/>
    <w:rsid w:val="00995633"/>
    <w:rsid w:val="0099569F"/>
    <w:rsid w:val="009957B1"/>
    <w:rsid w:val="00995AF6"/>
    <w:rsid w:val="009960B1"/>
    <w:rsid w:val="009964C0"/>
    <w:rsid w:val="00996674"/>
    <w:rsid w:val="009968FC"/>
    <w:rsid w:val="00996B91"/>
    <w:rsid w:val="00996FA7"/>
    <w:rsid w:val="00996FDA"/>
    <w:rsid w:val="00997074"/>
    <w:rsid w:val="0099765F"/>
    <w:rsid w:val="00997737"/>
    <w:rsid w:val="00997B4E"/>
    <w:rsid w:val="009A0081"/>
    <w:rsid w:val="009A010D"/>
    <w:rsid w:val="009A09EC"/>
    <w:rsid w:val="009A0BE8"/>
    <w:rsid w:val="009A11BC"/>
    <w:rsid w:val="009A12F1"/>
    <w:rsid w:val="009A13FF"/>
    <w:rsid w:val="009A14EC"/>
    <w:rsid w:val="009A1E3B"/>
    <w:rsid w:val="009A2439"/>
    <w:rsid w:val="009A2461"/>
    <w:rsid w:val="009A258C"/>
    <w:rsid w:val="009A2D6A"/>
    <w:rsid w:val="009A2E5F"/>
    <w:rsid w:val="009A2F83"/>
    <w:rsid w:val="009A31BD"/>
    <w:rsid w:val="009A3223"/>
    <w:rsid w:val="009A37C5"/>
    <w:rsid w:val="009A37C9"/>
    <w:rsid w:val="009A383F"/>
    <w:rsid w:val="009A39F0"/>
    <w:rsid w:val="009A3C6B"/>
    <w:rsid w:val="009A3E17"/>
    <w:rsid w:val="009A3FEF"/>
    <w:rsid w:val="009A446D"/>
    <w:rsid w:val="009A44A9"/>
    <w:rsid w:val="009A4528"/>
    <w:rsid w:val="009A466C"/>
    <w:rsid w:val="009A47E9"/>
    <w:rsid w:val="009A4B2C"/>
    <w:rsid w:val="009A4D35"/>
    <w:rsid w:val="009A4E6A"/>
    <w:rsid w:val="009A5AEE"/>
    <w:rsid w:val="009A5E90"/>
    <w:rsid w:val="009A5FD0"/>
    <w:rsid w:val="009A61FC"/>
    <w:rsid w:val="009A6342"/>
    <w:rsid w:val="009A677D"/>
    <w:rsid w:val="009A67CB"/>
    <w:rsid w:val="009A6B0E"/>
    <w:rsid w:val="009A6C62"/>
    <w:rsid w:val="009A70EB"/>
    <w:rsid w:val="009A7318"/>
    <w:rsid w:val="009A7550"/>
    <w:rsid w:val="009A7594"/>
    <w:rsid w:val="009A78D1"/>
    <w:rsid w:val="009A7BA4"/>
    <w:rsid w:val="009B0E4D"/>
    <w:rsid w:val="009B0F01"/>
    <w:rsid w:val="009B0F1A"/>
    <w:rsid w:val="009B1017"/>
    <w:rsid w:val="009B13A3"/>
    <w:rsid w:val="009B13A8"/>
    <w:rsid w:val="009B1BC7"/>
    <w:rsid w:val="009B1F1F"/>
    <w:rsid w:val="009B22C0"/>
    <w:rsid w:val="009B2304"/>
    <w:rsid w:val="009B2EE2"/>
    <w:rsid w:val="009B3183"/>
    <w:rsid w:val="009B319E"/>
    <w:rsid w:val="009B3565"/>
    <w:rsid w:val="009B3779"/>
    <w:rsid w:val="009B3A01"/>
    <w:rsid w:val="009B3A22"/>
    <w:rsid w:val="009B3E25"/>
    <w:rsid w:val="009B4022"/>
    <w:rsid w:val="009B42DA"/>
    <w:rsid w:val="009B47AD"/>
    <w:rsid w:val="009B4CCF"/>
    <w:rsid w:val="009B4D60"/>
    <w:rsid w:val="009B4D76"/>
    <w:rsid w:val="009B4EC9"/>
    <w:rsid w:val="009B518E"/>
    <w:rsid w:val="009B520E"/>
    <w:rsid w:val="009B58A3"/>
    <w:rsid w:val="009B58E1"/>
    <w:rsid w:val="009B5AED"/>
    <w:rsid w:val="009B5BD4"/>
    <w:rsid w:val="009B5E6D"/>
    <w:rsid w:val="009B5E78"/>
    <w:rsid w:val="009B61D6"/>
    <w:rsid w:val="009B6329"/>
    <w:rsid w:val="009B6876"/>
    <w:rsid w:val="009B6FB4"/>
    <w:rsid w:val="009B70A1"/>
    <w:rsid w:val="009B79E8"/>
    <w:rsid w:val="009B7AD8"/>
    <w:rsid w:val="009C093B"/>
    <w:rsid w:val="009C11A9"/>
    <w:rsid w:val="009C11C2"/>
    <w:rsid w:val="009C120D"/>
    <w:rsid w:val="009C12DF"/>
    <w:rsid w:val="009C153E"/>
    <w:rsid w:val="009C16BB"/>
    <w:rsid w:val="009C1BD2"/>
    <w:rsid w:val="009C2767"/>
    <w:rsid w:val="009C29A1"/>
    <w:rsid w:val="009C2D85"/>
    <w:rsid w:val="009C3075"/>
    <w:rsid w:val="009C3610"/>
    <w:rsid w:val="009C40C7"/>
    <w:rsid w:val="009C4712"/>
    <w:rsid w:val="009C57DC"/>
    <w:rsid w:val="009C5B7A"/>
    <w:rsid w:val="009C5C66"/>
    <w:rsid w:val="009C5CDB"/>
    <w:rsid w:val="009C5E7D"/>
    <w:rsid w:val="009C5F3F"/>
    <w:rsid w:val="009C63FE"/>
    <w:rsid w:val="009C67A9"/>
    <w:rsid w:val="009C6811"/>
    <w:rsid w:val="009C68E1"/>
    <w:rsid w:val="009C70D3"/>
    <w:rsid w:val="009C71CC"/>
    <w:rsid w:val="009C72F8"/>
    <w:rsid w:val="009C74D4"/>
    <w:rsid w:val="009C7607"/>
    <w:rsid w:val="009D02AE"/>
    <w:rsid w:val="009D0435"/>
    <w:rsid w:val="009D0587"/>
    <w:rsid w:val="009D0E9F"/>
    <w:rsid w:val="009D1033"/>
    <w:rsid w:val="009D1908"/>
    <w:rsid w:val="009D19AC"/>
    <w:rsid w:val="009D1A36"/>
    <w:rsid w:val="009D1F7A"/>
    <w:rsid w:val="009D2674"/>
    <w:rsid w:val="009D28C4"/>
    <w:rsid w:val="009D2952"/>
    <w:rsid w:val="009D2967"/>
    <w:rsid w:val="009D2A1B"/>
    <w:rsid w:val="009D30E1"/>
    <w:rsid w:val="009D311C"/>
    <w:rsid w:val="009D3434"/>
    <w:rsid w:val="009D3845"/>
    <w:rsid w:val="009D3A4B"/>
    <w:rsid w:val="009D3A91"/>
    <w:rsid w:val="009D3E5A"/>
    <w:rsid w:val="009D3F63"/>
    <w:rsid w:val="009D42BC"/>
    <w:rsid w:val="009D46DE"/>
    <w:rsid w:val="009D4C02"/>
    <w:rsid w:val="009D4CF0"/>
    <w:rsid w:val="009D4CFD"/>
    <w:rsid w:val="009D520E"/>
    <w:rsid w:val="009D5244"/>
    <w:rsid w:val="009D53DA"/>
    <w:rsid w:val="009D5789"/>
    <w:rsid w:val="009D5A6C"/>
    <w:rsid w:val="009D5AE0"/>
    <w:rsid w:val="009D5B43"/>
    <w:rsid w:val="009D5DE0"/>
    <w:rsid w:val="009D63C8"/>
    <w:rsid w:val="009D664C"/>
    <w:rsid w:val="009D6FFD"/>
    <w:rsid w:val="009D746A"/>
    <w:rsid w:val="009D7577"/>
    <w:rsid w:val="009D7783"/>
    <w:rsid w:val="009D7C16"/>
    <w:rsid w:val="009E0061"/>
    <w:rsid w:val="009E0068"/>
    <w:rsid w:val="009E0478"/>
    <w:rsid w:val="009E04FB"/>
    <w:rsid w:val="009E0732"/>
    <w:rsid w:val="009E0A85"/>
    <w:rsid w:val="009E0A8C"/>
    <w:rsid w:val="009E0DA5"/>
    <w:rsid w:val="009E0E97"/>
    <w:rsid w:val="009E1414"/>
    <w:rsid w:val="009E1605"/>
    <w:rsid w:val="009E1B05"/>
    <w:rsid w:val="009E1B22"/>
    <w:rsid w:val="009E1CC5"/>
    <w:rsid w:val="009E1D93"/>
    <w:rsid w:val="009E1E1C"/>
    <w:rsid w:val="009E218E"/>
    <w:rsid w:val="009E263F"/>
    <w:rsid w:val="009E2647"/>
    <w:rsid w:val="009E2BBA"/>
    <w:rsid w:val="009E314F"/>
    <w:rsid w:val="009E31A9"/>
    <w:rsid w:val="009E3261"/>
    <w:rsid w:val="009E32E7"/>
    <w:rsid w:val="009E3496"/>
    <w:rsid w:val="009E3595"/>
    <w:rsid w:val="009E361B"/>
    <w:rsid w:val="009E36BA"/>
    <w:rsid w:val="009E36FB"/>
    <w:rsid w:val="009E3B01"/>
    <w:rsid w:val="009E3C81"/>
    <w:rsid w:val="009E3F2A"/>
    <w:rsid w:val="009E3F46"/>
    <w:rsid w:val="009E4094"/>
    <w:rsid w:val="009E40C7"/>
    <w:rsid w:val="009E4386"/>
    <w:rsid w:val="009E463D"/>
    <w:rsid w:val="009E4A7B"/>
    <w:rsid w:val="009E4BFE"/>
    <w:rsid w:val="009E4C6D"/>
    <w:rsid w:val="009E4C94"/>
    <w:rsid w:val="009E4DBA"/>
    <w:rsid w:val="009E4E69"/>
    <w:rsid w:val="009E5DB8"/>
    <w:rsid w:val="009E5E02"/>
    <w:rsid w:val="009E5FD7"/>
    <w:rsid w:val="009E60B9"/>
    <w:rsid w:val="009E6219"/>
    <w:rsid w:val="009E68B8"/>
    <w:rsid w:val="009E694A"/>
    <w:rsid w:val="009E69D1"/>
    <w:rsid w:val="009E6F05"/>
    <w:rsid w:val="009E71AE"/>
    <w:rsid w:val="009E7366"/>
    <w:rsid w:val="009E737A"/>
    <w:rsid w:val="009E74B0"/>
    <w:rsid w:val="009E7505"/>
    <w:rsid w:val="009E7B1D"/>
    <w:rsid w:val="009E7CDB"/>
    <w:rsid w:val="009E7F94"/>
    <w:rsid w:val="009F018F"/>
    <w:rsid w:val="009F02FD"/>
    <w:rsid w:val="009F072A"/>
    <w:rsid w:val="009F08FA"/>
    <w:rsid w:val="009F0B7D"/>
    <w:rsid w:val="009F0FD9"/>
    <w:rsid w:val="009F107D"/>
    <w:rsid w:val="009F12E8"/>
    <w:rsid w:val="009F13B6"/>
    <w:rsid w:val="009F193D"/>
    <w:rsid w:val="009F1A05"/>
    <w:rsid w:val="009F1ABB"/>
    <w:rsid w:val="009F1D01"/>
    <w:rsid w:val="009F1F60"/>
    <w:rsid w:val="009F1FEE"/>
    <w:rsid w:val="009F208A"/>
    <w:rsid w:val="009F2661"/>
    <w:rsid w:val="009F2B9B"/>
    <w:rsid w:val="009F2C0E"/>
    <w:rsid w:val="009F2D4B"/>
    <w:rsid w:val="009F2DDD"/>
    <w:rsid w:val="009F2F61"/>
    <w:rsid w:val="009F3446"/>
    <w:rsid w:val="009F3A4E"/>
    <w:rsid w:val="009F3FB9"/>
    <w:rsid w:val="009F44E0"/>
    <w:rsid w:val="009F4723"/>
    <w:rsid w:val="009F55ED"/>
    <w:rsid w:val="009F5973"/>
    <w:rsid w:val="009F59A6"/>
    <w:rsid w:val="009F5AA1"/>
    <w:rsid w:val="009F5C12"/>
    <w:rsid w:val="009F607A"/>
    <w:rsid w:val="009F6D0F"/>
    <w:rsid w:val="009F6FE3"/>
    <w:rsid w:val="009F73C8"/>
    <w:rsid w:val="009F7974"/>
    <w:rsid w:val="009F7D89"/>
    <w:rsid w:val="009F7EFF"/>
    <w:rsid w:val="00A00CF8"/>
    <w:rsid w:val="00A00E87"/>
    <w:rsid w:val="00A015C9"/>
    <w:rsid w:val="00A019AA"/>
    <w:rsid w:val="00A01B2A"/>
    <w:rsid w:val="00A01D20"/>
    <w:rsid w:val="00A0200A"/>
    <w:rsid w:val="00A02166"/>
    <w:rsid w:val="00A02748"/>
    <w:rsid w:val="00A02A44"/>
    <w:rsid w:val="00A032BF"/>
    <w:rsid w:val="00A03307"/>
    <w:rsid w:val="00A033E0"/>
    <w:rsid w:val="00A0365A"/>
    <w:rsid w:val="00A0379C"/>
    <w:rsid w:val="00A0382C"/>
    <w:rsid w:val="00A03A32"/>
    <w:rsid w:val="00A03C3A"/>
    <w:rsid w:val="00A03C64"/>
    <w:rsid w:val="00A03E3D"/>
    <w:rsid w:val="00A042FC"/>
    <w:rsid w:val="00A04534"/>
    <w:rsid w:val="00A0468C"/>
    <w:rsid w:val="00A046E7"/>
    <w:rsid w:val="00A04780"/>
    <w:rsid w:val="00A048BB"/>
    <w:rsid w:val="00A0493F"/>
    <w:rsid w:val="00A04A07"/>
    <w:rsid w:val="00A04C08"/>
    <w:rsid w:val="00A04E2C"/>
    <w:rsid w:val="00A04E5B"/>
    <w:rsid w:val="00A04F31"/>
    <w:rsid w:val="00A055AA"/>
    <w:rsid w:val="00A055E0"/>
    <w:rsid w:val="00A058F3"/>
    <w:rsid w:val="00A059EB"/>
    <w:rsid w:val="00A05B16"/>
    <w:rsid w:val="00A05FB0"/>
    <w:rsid w:val="00A060FB"/>
    <w:rsid w:val="00A06232"/>
    <w:rsid w:val="00A06969"/>
    <w:rsid w:val="00A06B46"/>
    <w:rsid w:val="00A06C51"/>
    <w:rsid w:val="00A06CFA"/>
    <w:rsid w:val="00A07103"/>
    <w:rsid w:val="00A075D6"/>
    <w:rsid w:val="00A07846"/>
    <w:rsid w:val="00A07F2B"/>
    <w:rsid w:val="00A1064A"/>
    <w:rsid w:val="00A10768"/>
    <w:rsid w:val="00A108EB"/>
    <w:rsid w:val="00A10B7A"/>
    <w:rsid w:val="00A10CB9"/>
    <w:rsid w:val="00A10DAE"/>
    <w:rsid w:val="00A10F74"/>
    <w:rsid w:val="00A110F9"/>
    <w:rsid w:val="00A11F86"/>
    <w:rsid w:val="00A120F3"/>
    <w:rsid w:val="00A122B1"/>
    <w:rsid w:val="00A125BA"/>
    <w:rsid w:val="00A129AA"/>
    <w:rsid w:val="00A12A17"/>
    <w:rsid w:val="00A12CEC"/>
    <w:rsid w:val="00A132E7"/>
    <w:rsid w:val="00A13571"/>
    <w:rsid w:val="00A13595"/>
    <w:rsid w:val="00A13CCF"/>
    <w:rsid w:val="00A13D2C"/>
    <w:rsid w:val="00A13FF0"/>
    <w:rsid w:val="00A14278"/>
    <w:rsid w:val="00A142C2"/>
    <w:rsid w:val="00A142D2"/>
    <w:rsid w:val="00A14326"/>
    <w:rsid w:val="00A143EA"/>
    <w:rsid w:val="00A1451E"/>
    <w:rsid w:val="00A14545"/>
    <w:rsid w:val="00A14ADB"/>
    <w:rsid w:val="00A14DD4"/>
    <w:rsid w:val="00A14EAA"/>
    <w:rsid w:val="00A14F1E"/>
    <w:rsid w:val="00A15009"/>
    <w:rsid w:val="00A150A3"/>
    <w:rsid w:val="00A153C9"/>
    <w:rsid w:val="00A155EC"/>
    <w:rsid w:val="00A15C97"/>
    <w:rsid w:val="00A16205"/>
    <w:rsid w:val="00A162D2"/>
    <w:rsid w:val="00A165D6"/>
    <w:rsid w:val="00A167C7"/>
    <w:rsid w:val="00A16A45"/>
    <w:rsid w:val="00A16BC4"/>
    <w:rsid w:val="00A16C58"/>
    <w:rsid w:val="00A16F18"/>
    <w:rsid w:val="00A16F30"/>
    <w:rsid w:val="00A16F58"/>
    <w:rsid w:val="00A17575"/>
    <w:rsid w:val="00A1759A"/>
    <w:rsid w:val="00A17907"/>
    <w:rsid w:val="00A2035E"/>
    <w:rsid w:val="00A20571"/>
    <w:rsid w:val="00A20649"/>
    <w:rsid w:val="00A20A88"/>
    <w:rsid w:val="00A20CD4"/>
    <w:rsid w:val="00A20DC4"/>
    <w:rsid w:val="00A2176F"/>
    <w:rsid w:val="00A218E1"/>
    <w:rsid w:val="00A218FB"/>
    <w:rsid w:val="00A219B8"/>
    <w:rsid w:val="00A21A07"/>
    <w:rsid w:val="00A220B4"/>
    <w:rsid w:val="00A2216C"/>
    <w:rsid w:val="00A2232F"/>
    <w:rsid w:val="00A22361"/>
    <w:rsid w:val="00A22D97"/>
    <w:rsid w:val="00A23690"/>
    <w:rsid w:val="00A23D4D"/>
    <w:rsid w:val="00A23EE3"/>
    <w:rsid w:val="00A242EE"/>
    <w:rsid w:val="00A24F8D"/>
    <w:rsid w:val="00A2508C"/>
    <w:rsid w:val="00A25C6B"/>
    <w:rsid w:val="00A25D42"/>
    <w:rsid w:val="00A25E40"/>
    <w:rsid w:val="00A25F50"/>
    <w:rsid w:val="00A261D8"/>
    <w:rsid w:val="00A262CE"/>
    <w:rsid w:val="00A263AA"/>
    <w:rsid w:val="00A26BBD"/>
    <w:rsid w:val="00A26DE9"/>
    <w:rsid w:val="00A27199"/>
    <w:rsid w:val="00A2769C"/>
    <w:rsid w:val="00A2772C"/>
    <w:rsid w:val="00A27B24"/>
    <w:rsid w:val="00A27CD0"/>
    <w:rsid w:val="00A30001"/>
    <w:rsid w:val="00A30150"/>
    <w:rsid w:val="00A30560"/>
    <w:rsid w:val="00A30632"/>
    <w:rsid w:val="00A3089B"/>
    <w:rsid w:val="00A308F1"/>
    <w:rsid w:val="00A30EAD"/>
    <w:rsid w:val="00A3102C"/>
    <w:rsid w:val="00A31303"/>
    <w:rsid w:val="00A31350"/>
    <w:rsid w:val="00A318BB"/>
    <w:rsid w:val="00A318F9"/>
    <w:rsid w:val="00A31C98"/>
    <w:rsid w:val="00A320B3"/>
    <w:rsid w:val="00A3261F"/>
    <w:rsid w:val="00A32900"/>
    <w:rsid w:val="00A33032"/>
    <w:rsid w:val="00A332AE"/>
    <w:rsid w:val="00A334F0"/>
    <w:rsid w:val="00A335C6"/>
    <w:rsid w:val="00A33A92"/>
    <w:rsid w:val="00A33FC2"/>
    <w:rsid w:val="00A34069"/>
    <w:rsid w:val="00A341A0"/>
    <w:rsid w:val="00A341F7"/>
    <w:rsid w:val="00A34696"/>
    <w:rsid w:val="00A34B05"/>
    <w:rsid w:val="00A34D2C"/>
    <w:rsid w:val="00A34EB5"/>
    <w:rsid w:val="00A35219"/>
    <w:rsid w:val="00A35409"/>
    <w:rsid w:val="00A3560A"/>
    <w:rsid w:val="00A356F9"/>
    <w:rsid w:val="00A35768"/>
    <w:rsid w:val="00A35860"/>
    <w:rsid w:val="00A35DA8"/>
    <w:rsid w:val="00A35E93"/>
    <w:rsid w:val="00A3622E"/>
    <w:rsid w:val="00A3644C"/>
    <w:rsid w:val="00A36593"/>
    <w:rsid w:val="00A36709"/>
    <w:rsid w:val="00A36D64"/>
    <w:rsid w:val="00A37373"/>
    <w:rsid w:val="00A37836"/>
    <w:rsid w:val="00A378B2"/>
    <w:rsid w:val="00A400BB"/>
    <w:rsid w:val="00A40124"/>
    <w:rsid w:val="00A40220"/>
    <w:rsid w:val="00A40423"/>
    <w:rsid w:val="00A405AC"/>
    <w:rsid w:val="00A405CE"/>
    <w:rsid w:val="00A4065B"/>
    <w:rsid w:val="00A40993"/>
    <w:rsid w:val="00A40A81"/>
    <w:rsid w:val="00A40A8C"/>
    <w:rsid w:val="00A40AD8"/>
    <w:rsid w:val="00A41167"/>
    <w:rsid w:val="00A4155D"/>
    <w:rsid w:val="00A417E8"/>
    <w:rsid w:val="00A41943"/>
    <w:rsid w:val="00A41D27"/>
    <w:rsid w:val="00A420EB"/>
    <w:rsid w:val="00A4213E"/>
    <w:rsid w:val="00A421B7"/>
    <w:rsid w:val="00A4225F"/>
    <w:rsid w:val="00A42557"/>
    <w:rsid w:val="00A42698"/>
    <w:rsid w:val="00A4299A"/>
    <w:rsid w:val="00A429A8"/>
    <w:rsid w:val="00A42A85"/>
    <w:rsid w:val="00A42F56"/>
    <w:rsid w:val="00A43595"/>
    <w:rsid w:val="00A43711"/>
    <w:rsid w:val="00A437D8"/>
    <w:rsid w:val="00A43A38"/>
    <w:rsid w:val="00A442BE"/>
    <w:rsid w:val="00A44300"/>
    <w:rsid w:val="00A443BF"/>
    <w:rsid w:val="00A44459"/>
    <w:rsid w:val="00A44491"/>
    <w:rsid w:val="00A445C7"/>
    <w:rsid w:val="00A447BA"/>
    <w:rsid w:val="00A4489E"/>
    <w:rsid w:val="00A44998"/>
    <w:rsid w:val="00A44BDC"/>
    <w:rsid w:val="00A44E3F"/>
    <w:rsid w:val="00A44FB7"/>
    <w:rsid w:val="00A4500A"/>
    <w:rsid w:val="00A450E5"/>
    <w:rsid w:val="00A4595D"/>
    <w:rsid w:val="00A45B0F"/>
    <w:rsid w:val="00A45B83"/>
    <w:rsid w:val="00A4614C"/>
    <w:rsid w:val="00A465BD"/>
    <w:rsid w:val="00A466A9"/>
    <w:rsid w:val="00A467AC"/>
    <w:rsid w:val="00A46ACF"/>
    <w:rsid w:val="00A46C3B"/>
    <w:rsid w:val="00A46DCD"/>
    <w:rsid w:val="00A47059"/>
    <w:rsid w:val="00A476B3"/>
    <w:rsid w:val="00A4784D"/>
    <w:rsid w:val="00A503CF"/>
    <w:rsid w:val="00A50585"/>
    <w:rsid w:val="00A50792"/>
    <w:rsid w:val="00A507AA"/>
    <w:rsid w:val="00A509A0"/>
    <w:rsid w:val="00A509A6"/>
    <w:rsid w:val="00A50CD4"/>
    <w:rsid w:val="00A50DBC"/>
    <w:rsid w:val="00A50E75"/>
    <w:rsid w:val="00A51277"/>
    <w:rsid w:val="00A51768"/>
    <w:rsid w:val="00A51EFE"/>
    <w:rsid w:val="00A520EC"/>
    <w:rsid w:val="00A5243E"/>
    <w:rsid w:val="00A52602"/>
    <w:rsid w:val="00A52A59"/>
    <w:rsid w:val="00A52AE4"/>
    <w:rsid w:val="00A52D4E"/>
    <w:rsid w:val="00A52E97"/>
    <w:rsid w:val="00A5355C"/>
    <w:rsid w:val="00A5365D"/>
    <w:rsid w:val="00A538DD"/>
    <w:rsid w:val="00A5390D"/>
    <w:rsid w:val="00A53AFD"/>
    <w:rsid w:val="00A53BE6"/>
    <w:rsid w:val="00A543C4"/>
    <w:rsid w:val="00A54BC7"/>
    <w:rsid w:val="00A54C5F"/>
    <w:rsid w:val="00A5525B"/>
    <w:rsid w:val="00A55430"/>
    <w:rsid w:val="00A556BC"/>
    <w:rsid w:val="00A55CE1"/>
    <w:rsid w:val="00A56097"/>
    <w:rsid w:val="00A56234"/>
    <w:rsid w:val="00A56581"/>
    <w:rsid w:val="00A56612"/>
    <w:rsid w:val="00A567BD"/>
    <w:rsid w:val="00A56AE3"/>
    <w:rsid w:val="00A57D18"/>
    <w:rsid w:val="00A6015C"/>
    <w:rsid w:val="00A6083B"/>
    <w:rsid w:val="00A60855"/>
    <w:rsid w:val="00A60ACC"/>
    <w:rsid w:val="00A60C68"/>
    <w:rsid w:val="00A617B6"/>
    <w:rsid w:val="00A6194C"/>
    <w:rsid w:val="00A61CB9"/>
    <w:rsid w:val="00A6253A"/>
    <w:rsid w:val="00A62560"/>
    <w:rsid w:val="00A625DC"/>
    <w:rsid w:val="00A62650"/>
    <w:rsid w:val="00A62900"/>
    <w:rsid w:val="00A62A9F"/>
    <w:rsid w:val="00A63107"/>
    <w:rsid w:val="00A631D7"/>
    <w:rsid w:val="00A63320"/>
    <w:rsid w:val="00A6366B"/>
    <w:rsid w:val="00A638F3"/>
    <w:rsid w:val="00A63E4D"/>
    <w:rsid w:val="00A63F0D"/>
    <w:rsid w:val="00A640CF"/>
    <w:rsid w:val="00A6461D"/>
    <w:rsid w:val="00A64831"/>
    <w:rsid w:val="00A64943"/>
    <w:rsid w:val="00A64D03"/>
    <w:rsid w:val="00A64EEE"/>
    <w:rsid w:val="00A64EFC"/>
    <w:rsid w:val="00A65505"/>
    <w:rsid w:val="00A655DB"/>
    <w:rsid w:val="00A655F2"/>
    <w:rsid w:val="00A6582F"/>
    <w:rsid w:val="00A65A12"/>
    <w:rsid w:val="00A65AAB"/>
    <w:rsid w:val="00A65D46"/>
    <w:rsid w:val="00A661DA"/>
    <w:rsid w:val="00A661E8"/>
    <w:rsid w:val="00A662DB"/>
    <w:rsid w:val="00A66634"/>
    <w:rsid w:val="00A66764"/>
    <w:rsid w:val="00A669AF"/>
    <w:rsid w:val="00A669E4"/>
    <w:rsid w:val="00A66B63"/>
    <w:rsid w:val="00A66C34"/>
    <w:rsid w:val="00A66E32"/>
    <w:rsid w:val="00A6709B"/>
    <w:rsid w:val="00A676E1"/>
    <w:rsid w:val="00A67B7F"/>
    <w:rsid w:val="00A67D33"/>
    <w:rsid w:val="00A701C5"/>
    <w:rsid w:val="00A701D0"/>
    <w:rsid w:val="00A70626"/>
    <w:rsid w:val="00A7079D"/>
    <w:rsid w:val="00A707CE"/>
    <w:rsid w:val="00A70E0B"/>
    <w:rsid w:val="00A7139D"/>
    <w:rsid w:val="00A713A3"/>
    <w:rsid w:val="00A71724"/>
    <w:rsid w:val="00A71CCC"/>
    <w:rsid w:val="00A7223D"/>
    <w:rsid w:val="00A7224E"/>
    <w:rsid w:val="00A72349"/>
    <w:rsid w:val="00A73136"/>
    <w:rsid w:val="00A73169"/>
    <w:rsid w:val="00A7349A"/>
    <w:rsid w:val="00A736DF"/>
    <w:rsid w:val="00A73B15"/>
    <w:rsid w:val="00A73EC0"/>
    <w:rsid w:val="00A74089"/>
    <w:rsid w:val="00A74619"/>
    <w:rsid w:val="00A747C6"/>
    <w:rsid w:val="00A75318"/>
    <w:rsid w:val="00A755AA"/>
    <w:rsid w:val="00A75C2D"/>
    <w:rsid w:val="00A75C50"/>
    <w:rsid w:val="00A75EBB"/>
    <w:rsid w:val="00A760C9"/>
    <w:rsid w:val="00A761CC"/>
    <w:rsid w:val="00A76625"/>
    <w:rsid w:val="00A7690B"/>
    <w:rsid w:val="00A76ADE"/>
    <w:rsid w:val="00A77161"/>
    <w:rsid w:val="00A7772E"/>
    <w:rsid w:val="00A77748"/>
    <w:rsid w:val="00A77778"/>
    <w:rsid w:val="00A777E7"/>
    <w:rsid w:val="00A778A1"/>
    <w:rsid w:val="00A77EC2"/>
    <w:rsid w:val="00A80E68"/>
    <w:rsid w:val="00A80FE4"/>
    <w:rsid w:val="00A810FC"/>
    <w:rsid w:val="00A81302"/>
    <w:rsid w:val="00A813A8"/>
    <w:rsid w:val="00A81939"/>
    <w:rsid w:val="00A81978"/>
    <w:rsid w:val="00A81A92"/>
    <w:rsid w:val="00A82202"/>
    <w:rsid w:val="00A8224A"/>
    <w:rsid w:val="00A8257D"/>
    <w:rsid w:val="00A82871"/>
    <w:rsid w:val="00A82A5C"/>
    <w:rsid w:val="00A83221"/>
    <w:rsid w:val="00A833EB"/>
    <w:rsid w:val="00A83B58"/>
    <w:rsid w:val="00A83F61"/>
    <w:rsid w:val="00A84071"/>
    <w:rsid w:val="00A84698"/>
    <w:rsid w:val="00A8470F"/>
    <w:rsid w:val="00A847CD"/>
    <w:rsid w:val="00A84D31"/>
    <w:rsid w:val="00A84D32"/>
    <w:rsid w:val="00A851AF"/>
    <w:rsid w:val="00A85306"/>
    <w:rsid w:val="00A85560"/>
    <w:rsid w:val="00A8563D"/>
    <w:rsid w:val="00A8583B"/>
    <w:rsid w:val="00A85869"/>
    <w:rsid w:val="00A85AAD"/>
    <w:rsid w:val="00A85E44"/>
    <w:rsid w:val="00A86193"/>
    <w:rsid w:val="00A86360"/>
    <w:rsid w:val="00A867C4"/>
    <w:rsid w:val="00A86DF3"/>
    <w:rsid w:val="00A86F15"/>
    <w:rsid w:val="00A86F2E"/>
    <w:rsid w:val="00A87ABB"/>
    <w:rsid w:val="00A87D85"/>
    <w:rsid w:val="00A90045"/>
    <w:rsid w:val="00A903B2"/>
    <w:rsid w:val="00A904DD"/>
    <w:rsid w:val="00A908D2"/>
    <w:rsid w:val="00A908E2"/>
    <w:rsid w:val="00A90A2D"/>
    <w:rsid w:val="00A90CE9"/>
    <w:rsid w:val="00A90DF0"/>
    <w:rsid w:val="00A90EFA"/>
    <w:rsid w:val="00A90F70"/>
    <w:rsid w:val="00A91451"/>
    <w:rsid w:val="00A914D6"/>
    <w:rsid w:val="00A9158E"/>
    <w:rsid w:val="00A9175E"/>
    <w:rsid w:val="00A91A2A"/>
    <w:rsid w:val="00A91B7C"/>
    <w:rsid w:val="00A91E3C"/>
    <w:rsid w:val="00A926DF"/>
    <w:rsid w:val="00A926E0"/>
    <w:rsid w:val="00A92749"/>
    <w:rsid w:val="00A92AE6"/>
    <w:rsid w:val="00A92D4E"/>
    <w:rsid w:val="00A92FB2"/>
    <w:rsid w:val="00A92FF3"/>
    <w:rsid w:val="00A9337E"/>
    <w:rsid w:val="00A9361D"/>
    <w:rsid w:val="00A93BF6"/>
    <w:rsid w:val="00A93E5D"/>
    <w:rsid w:val="00A93E81"/>
    <w:rsid w:val="00A93F41"/>
    <w:rsid w:val="00A945AA"/>
    <w:rsid w:val="00A9479F"/>
    <w:rsid w:val="00A9492C"/>
    <w:rsid w:val="00A94AFC"/>
    <w:rsid w:val="00A950BA"/>
    <w:rsid w:val="00A952E5"/>
    <w:rsid w:val="00A95567"/>
    <w:rsid w:val="00A95696"/>
    <w:rsid w:val="00A95892"/>
    <w:rsid w:val="00A95956"/>
    <w:rsid w:val="00A95BA4"/>
    <w:rsid w:val="00A95BC4"/>
    <w:rsid w:val="00A95D0E"/>
    <w:rsid w:val="00A95DA1"/>
    <w:rsid w:val="00A95E59"/>
    <w:rsid w:val="00A960CE"/>
    <w:rsid w:val="00A9664F"/>
    <w:rsid w:val="00A96850"/>
    <w:rsid w:val="00A96A44"/>
    <w:rsid w:val="00A96F61"/>
    <w:rsid w:val="00A97BBF"/>
    <w:rsid w:val="00A97D1F"/>
    <w:rsid w:val="00A97E56"/>
    <w:rsid w:val="00AA032F"/>
    <w:rsid w:val="00AA0950"/>
    <w:rsid w:val="00AA09CF"/>
    <w:rsid w:val="00AA0DA2"/>
    <w:rsid w:val="00AA1002"/>
    <w:rsid w:val="00AA106F"/>
    <w:rsid w:val="00AA1C58"/>
    <w:rsid w:val="00AA1E6A"/>
    <w:rsid w:val="00AA1E7D"/>
    <w:rsid w:val="00AA1F85"/>
    <w:rsid w:val="00AA2170"/>
    <w:rsid w:val="00AA2346"/>
    <w:rsid w:val="00AA2769"/>
    <w:rsid w:val="00AA2D46"/>
    <w:rsid w:val="00AA2DD6"/>
    <w:rsid w:val="00AA2EE9"/>
    <w:rsid w:val="00AA301F"/>
    <w:rsid w:val="00AA3271"/>
    <w:rsid w:val="00AA3325"/>
    <w:rsid w:val="00AA3381"/>
    <w:rsid w:val="00AA33D9"/>
    <w:rsid w:val="00AA35C5"/>
    <w:rsid w:val="00AA3721"/>
    <w:rsid w:val="00AA3786"/>
    <w:rsid w:val="00AA3998"/>
    <w:rsid w:val="00AA3A92"/>
    <w:rsid w:val="00AA3BA8"/>
    <w:rsid w:val="00AA3FAF"/>
    <w:rsid w:val="00AA4120"/>
    <w:rsid w:val="00AA42C4"/>
    <w:rsid w:val="00AA4772"/>
    <w:rsid w:val="00AA502B"/>
    <w:rsid w:val="00AA51A1"/>
    <w:rsid w:val="00AA53D3"/>
    <w:rsid w:val="00AA568A"/>
    <w:rsid w:val="00AA5990"/>
    <w:rsid w:val="00AA6113"/>
    <w:rsid w:val="00AA6770"/>
    <w:rsid w:val="00AA6BF2"/>
    <w:rsid w:val="00AA6D8F"/>
    <w:rsid w:val="00AA705F"/>
    <w:rsid w:val="00AA73FF"/>
    <w:rsid w:val="00AA744C"/>
    <w:rsid w:val="00AA7603"/>
    <w:rsid w:val="00AA77D5"/>
    <w:rsid w:val="00AA7C22"/>
    <w:rsid w:val="00AB034F"/>
    <w:rsid w:val="00AB056D"/>
    <w:rsid w:val="00AB083A"/>
    <w:rsid w:val="00AB0979"/>
    <w:rsid w:val="00AB0995"/>
    <w:rsid w:val="00AB0ABA"/>
    <w:rsid w:val="00AB0C02"/>
    <w:rsid w:val="00AB0DE3"/>
    <w:rsid w:val="00AB0EB3"/>
    <w:rsid w:val="00AB116E"/>
    <w:rsid w:val="00AB171B"/>
    <w:rsid w:val="00AB1B9E"/>
    <w:rsid w:val="00AB1BFD"/>
    <w:rsid w:val="00AB1CD3"/>
    <w:rsid w:val="00AB1E09"/>
    <w:rsid w:val="00AB1F23"/>
    <w:rsid w:val="00AB1FBB"/>
    <w:rsid w:val="00AB2329"/>
    <w:rsid w:val="00AB2509"/>
    <w:rsid w:val="00AB27F9"/>
    <w:rsid w:val="00AB2886"/>
    <w:rsid w:val="00AB28CE"/>
    <w:rsid w:val="00AB29B3"/>
    <w:rsid w:val="00AB3681"/>
    <w:rsid w:val="00AB3A77"/>
    <w:rsid w:val="00AB43F1"/>
    <w:rsid w:val="00AB4459"/>
    <w:rsid w:val="00AB468F"/>
    <w:rsid w:val="00AB46EE"/>
    <w:rsid w:val="00AB4845"/>
    <w:rsid w:val="00AB48D3"/>
    <w:rsid w:val="00AB4954"/>
    <w:rsid w:val="00AB4A48"/>
    <w:rsid w:val="00AB4BB6"/>
    <w:rsid w:val="00AB4C33"/>
    <w:rsid w:val="00AB4E4F"/>
    <w:rsid w:val="00AB4F6C"/>
    <w:rsid w:val="00AB5239"/>
    <w:rsid w:val="00AB5288"/>
    <w:rsid w:val="00AB5508"/>
    <w:rsid w:val="00AB5CA4"/>
    <w:rsid w:val="00AB5DA5"/>
    <w:rsid w:val="00AB5EC6"/>
    <w:rsid w:val="00AB6136"/>
    <w:rsid w:val="00AB6223"/>
    <w:rsid w:val="00AB63C5"/>
    <w:rsid w:val="00AB64A2"/>
    <w:rsid w:val="00AB6752"/>
    <w:rsid w:val="00AB69C9"/>
    <w:rsid w:val="00AB6AA7"/>
    <w:rsid w:val="00AB736A"/>
    <w:rsid w:val="00AB7756"/>
    <w:rsid w:val="00AB77FE"/>
    <w:rsid w:val="00AB794F"/>
    <w:rsid w:val="00AB7AAC"/>
    <w:rsid w:val="00AB7C4D"/>
    <w:rsid w:val="00AB7D60"/>
    <w:rsid w:val="00AB7EAB"/>
    <w:rsid w:val="00AC0B29"/>
    <w:rsid w:val="00AC162D"/>
    <w:rsid w:val="00AC1CF3"/>
    <w:rsid w:val="00AC20A7"/>
    <w:rsid w:val="00AC255D"/>
    <w:rsid w:val="00AC2868"/>
    <w:rsid w:val="00AC2B1D"/>
    <w:rsid w:val="00AC38C6"/>
    <w:rsid w:val="00AC3B72"/>
    <w:rsid w:val="00AC3B91"/>
    <w:rsid w:val="00AC3BAF"/>
    <w:rsid w:val="00AC3C02"/>
    <w:rsid w:val="00AC3F34"/>
    <w:rsid w:val="00AC45F1"/>
    <w:rsid w:val="00AC4602"/>
    <w:rsid w:val="00AC46C2"/>
    <w:rsid w:val="00AC4F7D"/>
    <w:rsid w:val="00AC50DD"/>
    <w:rsid w:val="00AC56C2"/>
    <w:rsid w:val="00AC57A4"/>
    <w:rsid w:val="00AC6000"/>
    <w:rsid w:val="00AC6269"/>
    <w:rsid w:val="00AC64AD"/>
    <w:rsid w:val="00AC6976"/>
    <w:rsid w:val="00AC6A64"/>
    <w:rsid w:val="00AC6AF9"/>
    <w:rsid w:val="00AC7007"/>
    <w:rsid w:val="00AC7613"/>
    <w:rsid w:val="00AC7A7F"/>
    <w:rsid w:val="00AC7D1B"/>
    <w:rsid w:val="00AC7D3F"/>
    <w:rsid w:val="00AD0234"/>
    <w:rsid w:val="00AD0489"/>
    <w:rsid w:val="00AD0956"/>
    <w:rsid w:val="00AD11F9"/>
    <w:rsid w:val="00AD1BAF"/>
    <w:rsid w:val="00AD1CA9"/>
    <w:rsid w:val="00AD1E77"/>
    <w:rsid w:val="00AD2295"/>
    <w:rsid w:val="00AD2726"/>
    <w:rsid w:val="00AD2E36"/>
    <w:rsid w:val="00AD2EEB"/>
    <w:rsid w:val="00AD3368"/>
    <w:rsid w:val="00AD3965"/>
    <w:rsid w:val="00AD3F16"/>
    <w:rsid w:val="00AD44D2"/>
    <w:rsid w:val="00AD4537"/>
    <w:rsid w:val="00AD4B21"/>
    <w:rsid w:val="00AD5501"/>
    <w:rsid w:val="00AD584D"/>
    <w:rsid w:val="00AD5940"/>
    <w:rsid w:val="00AD59D4"/>
    <w:rsid w:val="00AD5A20"/>
    <w:rsid w:val="00AD5B99"/>
    <w:rsid w:val="00AD5F31"/>
    <w:rsid w:val="00AD651D"/>
    <w:rsid w:val="00AD69E5"/>
    <w:rsid w:val="00AD7073"/>
    <w:rsid w:val="00AD761A"/>
    <w:rsid w:val="00AD7A93"/>
    <w:rsid w:val="00AD7E1E"/>
    <w:rsid w:val="00AD7F4B"/>
    <w:rsid w:val="00AE02CC"/>
    <w:rsid w:val="00AE0ADB"/>
    <w:rsid w:val="00AE0B1A"/>
    <w:rsid w:val="00AE0B82"/>
    <w:rsid w:val="00AE0EBF"/>
    <w:rsid w:val="00AE0FB2"/>
    <w:rsid w:val="00AE108B"/>
    <w:rsid w:val="00AE1877"/>
    <w:rsid w:val="00AE193F"/>
    <w:rsid w:val="00AE1B42"/>
    <w:rsid w:val="00AE1EB0"/>
    <w:rsid w:val="00AE2290"/>
    <w:rsid w:val="00AE2366"/>
    <w:rsid w:val="00AE2477"/>
    <w:rsid w:val="00AE273D"/>
    <w:rsid w:val="00AE2E5E"/>
    <w:rsid w:val="00AE331E"/>
    <w:rsid w:val="00AE38AB"/>
    <w:rsid w:val="00AE3939"/>
    <w:rsid w:val="00AE3CAC"/>
    <w:rsid w:val="00AE420C"/>
    <w:rsid w:val="00AE438B"/>
    <w:rsid w:val="00AE43FD"/>
    <w:rsid w:val="00AE4F27"/>
    <w:rsid w:val="00AE5578"/>
    <w:rsid w:val="00AE5826"/>
    <w:rsid w:val="00AE58A7"/>
    <w:rsid w:val="00AE5A5E"/>
    <w:rsid w:val="00AE5ABB"/>
    <w:rsid w:val="00AE6258"/>
    <w:rsid w:val="00AE6334"/>
    <w:rsid w:val="00AE63CE"/>
    <w:rsid w:val="00AE63F0"/>
    <w:rsid w:val="00AE652E"/>
    <w:rsid w:val="00AE65CB"/>
    <w:rsid w:val="00AE6724"/>
    <w:rsid w:val="00AE6958"/>
    <w:rsid w:val="00AE6DFA"/>
    <w:rsid w:val="00AE6E0A"/>
    <w:rsid w:val="00AE6EB8"/>
    <w:rsid w:val="00AE6F25"/>
    <w:rsid w:val="00AE7012"/>
    <w:rsid w:val="00AE71BD"/>
    <w:rsid w:val="00AE77D7"/>
    <w:rsid w:val="00AE78FF"/>
    <w:rsid w:val="00AE7A40"/>
    <w:rsid w:val="00AE7B71"/>
    <w:rsid w:val="00AE7C88"/>
    <w:rsid w:val="00AF0847"/>
    <w:rsid w:val="00AF09F2"/>
    <w:rsid w:val="00AF0BA0"/>
    <w:rsid w:val="00AF1A8F"/>
    <w:rsid w:val="00AF1EAE"/>
    <w:rsid w:val="00AF256D"/>
    <w:rsid w:val="00AF26CB"/>
    <w:rsid w:val="00AF2875"/>
    <w:rsid w:val="00AF28E7"/>
    <w:rsid w:val="00AF2CAF"/>
    <w:rsid w:val="00AF2D0F"/>
    <w:rsid w:val="00AF2EB5"/>
    <w:rsid w:val="00AF3069"/>
    <w:rsid w:val="00AF30E5"/>
    <w:rsid w:val="00AF37DB"/>
    <w:rsid w:val="00AF3E9F"/>
    <w:rsid w:val="00AF411D"/>
    <w:rsid w:val="00AF440E"/>
    <w:rsid w:val="00AF4718"/>
    <w:rsid w:val="00AF4753"/>
    <w:rsid w:val="00AF475E"/>
    <w:rsid w:val="00AF4770"/>
    <w:rsid w:val="00AF4A88"/>
    <w:rsid w:val="00AF4BA9"/>
    <w:rsid w:val="00AF4C4C"/>
    <w:rsid w:val="00AF4C54"/>
    <w:rsid w:val="00AF5299"/>
    <w:rsid w:val="00AF57F7"/>
    <w:rsid w:val="00AF5F0F"/>
    <w:rsid w:val="00AF5F4B"/>
    <w:rsid w:val="00AF5F78"/>
    <w:rsid w:val="00AF6968"/>
    <w:rsid w:val="00AF6C41"/>
    <w:rsid w:val="00AF6DD7"/>
    <w:rsid w:val="00AF6DEA"/>
    <w:rsid w:val="00AF6E17"/>
    <w:rsid w:val="00AF6F8A"/>
    <w:rsid w:val="00AF7191"/>
    <w:rsid w:val="00AF75DE"/>
    <w:rsid w:val="00AF75F2"/>
    <w:rsid w:val="00AF7623"/>
    <w:rsid w:val="00AF77BD"/>
    <w:rsid w:val="00AF7F81"/>
    <w:rsid w:val="00B0031D"/>
    <w:rsid w:val="00B00493"/>
    <w:rsid w:val="00B009A0"/>
    <w:rsid w:val="00B009C3"/>
    <w:rsid w:val="00B00A50"/>
    <w:rsid w:val="00B00C32"/>
    <w:rsid w:val="00B00E98"/>
    <w:rsid w:val="00B00FE1"/>
    <w:rsid w:val="00B0110B"/>
    <w:rsid w:val="00B01117"/>
    <w:rsid w:val="00B0126F"/>
    <w:rsid w:val="00B01275"/>
    <w:rsid w:val="00B01A17"/>
    <w:rsid w:val="00B01AF7"/>
    <w:rsid w:val="00B01BD1"/>
    <w:rsid w:val="00B01DCF"/>
    <w:rsid w:val="00B01FC7"/>
    <w:rsid w:val="00B02134"/>
    <w:rsid w:val="00B0227E"/>
    <w:rsid w:val="00B022A3"/>
    <w:rsid w:val="00B02B80"/>
    <w:rsid w:val="00B03213"/>
    <w:rsid w:val="00B033EB"/>
    <w:rsid w:val="00B03B43"/>
    <w:rsid w:val="00B03B93"/>
    <w:rsid w:val="00B03EDC"/>
    <w:rsid w:val="00B03FB2"/>
    <w:rsid w:val="00B0410C"/>
    <w:rsid w:val="00B050D1"/>
    <w:rsid w:val="00B050EC"/>
    <w:rsid w:val="00B052F0"/>
    <w:rsid w:val="00B05AC1"/>
    <w:rsid w:val="00B05E09"/>
    <w:rsid w:val="00B05FB5"/>
    <w:rsid w:val="00B06371"/>
    <w:rsid w:val="00B06AA6"/>
    <w:rsid w:val="00B06ADD"/>
    <w:rsid w:val="00B06AE6"/>
    <w:rsid w:val="00B06C0D"/>
    <w:rsid w:val="00B06D24"/>
    <w:rsid w:val="00B07056"/>
    <w:rsid w:val="00B07298"/>
    <w:rsid w:val="00B0760B"/>
    <w:rsid w:val="00B07750"/>
    <w:rsid w:val="00B077C3"/>
    <w:rsid w:val="00B07937"/>
    <w:rsid w:val="00B07F39"/>
    <w:rsid w:val="00B105A9"/>
    <w:rsid w:val="00B109FC"/>
    <w:rsid w:val="00B10C1E"/>
    <w:rsid w:val="00B10DCC"/>
    <w:rsid w:val="00B11035"/>
    <w:rsid w:val="00B11673"/>
    <w:rsid w:val="00B11936"/>
    <w:rsid w:val="00B11D9F"/>
    <w:rsid w:val="00B126C0"/>
    <w:rsid w:val="00B128DB"/>
    <w:rsid w:val="00B12F80"/>
    <w:rsid w:val="00B131EE"/>
    <w:rsid w:val="00B13260"/>
    <w:rsid w:val="00B1344D"/>
    <w:rsid w:val="00B13635"/>
    <w:rsid w:val="00B13677"/>
    <w:rsid w:val="00B13889"/>
    <w:rsid w:val="00B1391E"/>
    <w:rsid w:val="00B13936"/>
    <w:rsid w:val="00B139C6"/>
    <w:rsid w:val="00B13A2D"/>
    <w:rsid w:val="00B140A8"/>
    <w:rsid w:val="00B140EC"/>
    <w:rsid w:val="00B1426F"/>
    <w:rsid w:val="00B14365"/>
    <w:rsid w:val="00B147BD"/>
    <w:rsid w:val="00B147F1"/>
    <w:rsid w:val="00B149A6"/>
    <w:rsid w:val="00B14A81"/>
    <w:rsid w:val="00B14BC7"/>
    <w:rsid w:val="00B151B8"/>
    <w:rsid w:val="00B1565B"/>
    <w:rsid w:val="00B1572B"/>
    <w:rsid w:val="00B1599C"/>
    <w:rsid w:val="00B166CD"/>
    <w:rsid w:val="00B16773"/>
    <w:rsid w:val="00B167DD"/>
    <w:rsid w:val="00B16A5D"/>
    <w:rsid w:val="00B171B1"/>
    <w:rsid w:val="00B1726D"/>
    <w:rsid w:val="00B1776D"/>
    <w:rsid w:val="00B17804"/>
    <w:rsid w:val="00B17892"/>
    <w:rsid w:val="00B17BF8"/>
    <w:rsid w:val="00B200E2"/>
    <w:rsid w:val="00B20366"/>
    <w:rsid w:val="00B2036C"/>
    <w:rsid w:val="00B205AD"/>
    <w:rsid w:val="00B207B9"/>
    <w:rsid w:val="00B20B59"/>
    <w:rsid w:val="00B210AD"/>
    <w:rsid w:val="00B211CA"/>
    <w:rsid w:val="00B2145D"/>
    <w:rsid w:val="00B21771"/>
    <w:rsid w:val="00B2178F"/>
    <w:rsid w:val="00B219BC"/>
    <w:rsid w:val="00B21C8E"/>
    <w:rsid w:val="00B21DBB"/>
    <w:rsid w:val="00B21E02"/>
    <w:rsid w:val="00B21F14"/>
    <w:rsid w:val="00B220AB"/>
    <w:rsid w:val="00B22222"/>
    <w:rsid w:val="00B2263F"/>
    <w:rsid w:val="00B23414"/>
    <w:rsid w:val="00B23917"/>
    <w:rsid w:val="00B23930"/>
    <w:rsid w:val="00B23C0C"/>
    <w:rsid w:val="00B23C8B"/>
    <w:rsid w:val="00B23D2D"/>
    <w:rsid w:val="00B23D78"/>
    <w:rsid w:val="00B241E6"/>
    <w:rsid w:val="00B24595"/>
    <w:rsid w:val="00B24655"/>
    <w:rsid w:val="00B2468A"/>
    <w:rsid w:val="00B24A1E"/>
    <w:rsid w:val="00B24AC4"/>
    <w:rsid w:val="00B24BC7"/>
    <w:rsid w:val="00B24E92"/>
    <w:rsid w:val="00B24FB8"/>
    <w:rsid w:val="00B2552F"/>
    <w:rsid w:val="00B2554A"/>
    <w:rsid w:val="00B256C9"/>
    <w:rsid w:val="00B25793"/>
    <w:rsid w:val="00B25974"/>
    <w:rsid w:val="00B25987"/>
    <w:rsid w:val="00B25A06"/>
    <w:rsid w:val="00B25AB5"/>
    <w:rsid w:val="00B25F3E"/>
    <w:rsid w:val="00B26714"/>
    <w:rsid w:val="00B26926"/>
    <w:rsid w:val="00B26A14"/>
    <w:rsid w:val="00B26BBC"/>
    <w:rsid w:val="00B26F06"/>
    <w:rsid w:val="00B26FED"/>
    <w:rsid w:val="00B273AF"/>
    <w:rsid w:val="00B278C4"/>
    <w:rsid w:val="00B3016D"/>
    <w:rsid w:val="00B30180"/>
    <w:rsid w:val="00B30581"/>
    <w:rsid w:val="00B3064A"/>
    <w:rsid w:val="00B30AC0"/>
    <w:rsid w:val="00B30C26"/>
    <w:rsid w:val="00B30C94"/>
    <w:rsid w:val="00B31076"/>
    <w:rsid w:val="00B314B5"/>
    <w:rsid w:val="00B319F5"/>
    <w:rsid w:val="00B32481"/>
    <w:rsid w:val="00B326A5"/>
    <w:rsid w:val="00B329A3"/>
    <w:rsid w:val="00B33675"/>
    <w:rsid w:val="00B337B2"/>
    <w:rsid w:val="00B34B34"/>
    <w:rsid w:val="00B353B9"/>
    <w:rsid w:val="00B35525"/>
    <w:rsid w:val="00B358A9"/>
    <w:rsid w:val="00B35C37"/>
    <w:rsid w:val="00B36076"/>
    <w:rsid w:val="00B36279"/>
    <w:rsid w:val="00B3647A"/>
    <w:rsid w:val="00B3675D"/>
    <w:rsid w:val="00B36C2A"/>
    <w:rsid w:val="00B36C3D"/>
    <w:rsid w:val="00B36C80"/>
    <w:rsid w:val="00B36CB1"/>
    <w:rsid w:val="00B36DD3"/>
    <w:rsid w:val="00B371F8"/>
    <w:rsid w:val="00B376C5"/>
    <w:rsid w:val="00B377A0"/>
    <w:rsid w:val="00B37AB5"/>
    <w:rsid w:val="00B40445"/>
    <w:rsid w:val="00B40A94"/>
    <w:rsid w:val="00B40BA6"/>
    <w:rsid w:val="00B40F0A"/>
    <w:rsid w:val="00B41691"/>
    <w:rsid w:val="00B41A15"/>
    <w:rsid w:val="00B41E11"/>
    <w:rsid w:val="00B4275A"/>
    <w:rsid w:val="00B42772"/>
    <w:rsid w:val="00B42D66"/>
    <w:rsid w:val="00B43270"/>
    <w:rsid w:val="00B43355"/>
    <w:rsid w:val="00B435D7"/>
    <w:rsid w:val="00B43912"/>
    <w:rsid w:val="00B43937"/>
    <w:rsid w:val="00B43BE8"/>
    <w:rsid w:val="00B442D7"/>
    <w:rsid w:val="00B445F8"/>
    <w:rsid w:val="00B4498E"/>
    <w:rsid w:val="00B44BA8"/>
    <w:rsid w:val="00B44F41"/>
    <w:rsid w:val="00B451C1"/>
    <w:rsid w:val="00B45483"/>
    <w:rsid w:val="00B45873"/>
    <w:rsid w:val="00B45AB2"/>
    <w:rsid w:val="00B45C43"/>
    <w:rsid w:val="00B46010"/>
    <w:rsid w:val="00B461CC"/>
    <w:rsid w:val="00B465D4"/>
    <w:rsid w:val="00B46EA9"/>
    <w:rsid w:val="00B46F5D"/>
    <w:rsid w:val="00B47131"/>
    <w:rsid w:val="00B4732E"/>
    <w:rsid w:val="00B47438"/>
    <w:rsid w:val="00B475BC"/>
    <w:rsid w:val="00B47848"/>
    <w:rsid w:val="00B47AB1"/>
    <w:rsid w:val="00B501CB"/>
    <w:rsid w:val="00B501CF"/>
    <w:rsid w:val="00B502F9"/>
    <w:rsid w:val="00B50429"/>
    <w:rsid w:val="00B50517"/>
    <w:rsid w:val="00B50A2F"/>
    <w:rsid w:val="00B50AA7"/>
    <w:rsid w:val="00B50B25"/>
    <w:rsid w:val="00B50DD8"/>
    <w:rsid w:val="00B50EFC"/>
    <w:rsid w:val="00B51136"/>
    <w:rsid w:val="00B5139B"/>
    <w:rsid w:val="00B515A3"/>
    <w:rsid w:val="00B515AE"/>
    <w:rsid w:val="00B51655"/>
    <w:rsid w:val="00B5180C"/>
    <w:rsid w:val="00B51A61"/>
    <w:rsid w:val="00B524E9"/>
    <w:rsid w:val="00B52862"/>
    <w:rsid w:val="00B52A9F"/>
    <w:rsid w:val="00B52ADA"/>
    <w:rsid w:val="00B53477"/>
    <w:rsid w:val="00B5365A"/>
    <w:rsid w:val="00B5378A"/>
    <w:rsid w:val="00B537D4"/>
    <w:rsid w:val="00B53C3A"/>
    <w:rsid w:val="00B53DBC"/>
    <w:rsid w:val="00B53EBC"/>
    <w:rsid w:val="00B545BD"/>
    <w:rsid w:val="00B54BA4"/>
    <w:rsid w:val="00B54E4B"/>
    <w:rsid w:val="00B55232"/>
    <w:rsid w:val="00B552C3"/>
    <w:rsid w:val="00B55EA0"/>
    <w:rsid w:val="00B55F07"/>
    <w:rsid w:val="00B560AA"/>
    <w:rsid w:val="00B56169"/>
    <w:rsid w:val="00B5663E"/>
    <w:rsid w:val="00B570D6"/>
    <w:rsid w:val="00B573C4"/>
    <w:rsid w:val="00B57551"/>
    <w:rsid w:val="00B578DA"/>
    <w:rsid w:val="00B57B03"/>
    <w:rsid w:val="00B6061E"/>
    <w:rsid w:val="00B60724"/>
    <w:rsid w:val="00B6079B"/>
    <w:rsid w:val="00B60844"/>
    <w:rsid w:val="00B61277"/>
    <w:rsid w:val="00B61766"/>
    <w:rsid w:val="00B61970"/>
    <w:rsid w:val="00B61D8D"/>
    <w:rsid w:val="00B62DD7"/>
    <w:rsid w:val="00B62E36"/>
    <w:rsid w:val="00B63124"/>
    <w:rsid w:val="00B634AA"/>
    <w:rsid w:val="00B63741"/>
    <w:rsid w:val="00B63A60"/>
    <w:rsid w:val="00B63D1A"/>
    <w:rsid w:val="00B643DA"/>
    <w:rsid w:val="00B64780"/>
    <w:rsid w:val="00B6479A"/>
    <w:rsid w:val="00B6498D"/>
    <w:rsid w:val="00B64D08"/>
    <w:rsid w:val="00B64D3A"/>
    <w:rsid w:val="00B64E65"/>
    <w:rsid w:val="00B6547F"/>
    <w:rsid w:val="00B65C2F"/>
    <w:rsid w:val="00B65C4E"/>
    <w:rsid w:val="00B65DF7"/>
    <w:rsid w:val="00B66434"/>
    <w:rsid w:val="00B66BB3"/>
    <w:rsid w:val="00B675DA"/>
    <w:rsid w:val="00B67938"/>
    <w:rsid w:val="00B67DEB"/>
    <w:rsid w:val="00B700D0"/>
    <w:rsid w:val="00B7015F"/>
    <w:rsid w:val="00B70467"/>
    <w:rsid w:val="00B7050F"/>
    <w:rsid w:val="00B70A25"/>
    <w:rsid w:val="00B70A43"/>
    <w:rsid w:val="00B70AAA"/>
    <w:rsid w:val="00B70BDA"/>
    <w:rsid w:val="00B70C2A"/>
    <w:rsid w:val="00B71273"/>
    <w:rsid w:val="00B712EB"/>
    <w:rsid w:val="00B716DA"/>
    <w:rsid w:val="00B717D1"/>
    <w:rsid w:val="00B7184A"/>
    <w:rsid w:val="00B71BEB"/>
    <w:rsid w:val="00B71BF8"/>
    <w:rsid w:val="00B71F96"/>
    <w:rsid w:val="00B72415"/>
    <w:rsid w:val="00B7242B"/>
    <w:rsid w:val="00B72553"/>
    <w:rsid w:val="00B728AB"/>
    <w:rsid w:val="00B72995"/>
    <w:rsid w:val="00B72C09"/>
    <w:rsid w:val="00B731DB"/>
    <w:rsid w:val="00B73307"/>
    <w:rsid w:val="00B73368"/>
    <w:rsid w:val="00B737C2"/>
    <w:rsid w:val="00B739E0"/>
    <w:rsid w:val="00B739E9"/>
    <w:rsid w:val="00B7427E"/>
    <w:rsid w:val="00B7490E"/>
    <w:rsid w:val="00B74A8A"/>
    <w:rsid w:val="00B74E8D"/>
    <w:rsid w:val="00B753E8"/>
    <w:rsid w:val="00B758E6"/>
    <w:rsid w:val="00B75934"/>
    <w:rsid w:val="00B75BB8"/>
    <w:rsid w:val="00B75F61"/>
    <w:rsid w:val="00B76497"/>
    <w:rsid w:val="00B766A0"/>
    <w:rsid w:val="00B766B4"/>
    <w:rsid w:val="00B769DA"/>
    <w:rsid w:val="00B76AFF"/>
    <w:rsid w:val="00B76D3F"/>
    <w:rsid w:val="00B7765C"/>
    <w:rsid w:val="00B7774F"/>
    <w:rsid w:val="00B778F2"/>
    <w:rsid w:val="00B77B7E"/>
    <w:rsid w:val="00B77D8D"/>
    <w:rsid w:val="00B77DE5"/>
    <w:rsid w:val="00B801D0"/>
    <w:rsid w:val="00B8037E"/>
    <w:rsid w:val="00B805C6"/>
    <w:rsid w:val="00B80A5E"/>
    <w:rsid w:val="00B80E97"/>
    <w:rsid w:val="00B81463"/>
    <w:rsid w:val="00B814B9"/>
    <w:rsid w:val="00B81DFB"/>
    <w:rsid w:val="00B81F5D"/>
    <w:rsid w:val="00B822B3"/>
    <w:rsid w:val="00B828B0"/>
    <w:rsid w:val="00B8293C"/>
    <w:rsid w:val="00B82A44"/>
    <w:rsid w:val="00B82D08"/>
    <w:rsid w:val="00B8301C"/>
    <w:rsid w:val="00B83330"/>
    <w:rsid w:val="00B8333D"/>
    <w:rsid w:val="00B83446"/>
    <w:rsid w:val="00B83559"/>
    <w:rsid w:val="00B83666"/>
    <w:rsid w:val="00B83AB7"/>
    <w:rsid w:val="00B83ED5"/>
    <w:rsid w:val="00B840E8"/>
    <w:rsid w:val="00B84B0E"/>
    <w:rsid w:val="00B84FB9"/>
    <w:rsid w:val="00B8502A"/>
    <w:rsid w:val="00B8559E"/>
    <w:rsid w:val="00B856B8"/>
    <w:rsid w:val="00B85816"/>
    <w:rsid w:val="00B85B3B"/>
    <w:rsid w:val="00B860B6"/>
    <w:rsid w:val="00B87283"/>
    <w:rsid w:val="00B87290"/>
    <w:rsid w:val="00B872A2"/>
    <w:rsid w:val="00B873DC"/>
    <w:rsid w:val="00B875BF"/>
    <w:rsid w:val="00B87B4F"/>
    <w:rsid w:val="00B9001D"/>
    <w:rsid w:val="00B902D3"/>
    <w:rsid w:val="00B9044B"/>
    <w:rsid w:val="00B9050E"/>
    <w:rsid w:val="00B90523"/>
    <w:rsid w:val="00B90808"/>
    <w:rsid w:val="00B9085C"/>
    <w:rsid w:val="00B90BF0"/>
    <w:rsid w:val="00B90DFF"/>
    <w:rsid w:val="00B90E2D"/>
    <w:rsid w:val="00B90EB2"/>
    <w:rsid w:val="00B915CA"/>
    <w:rsid w:val="00B91753"/>
    <w:rsid w:val="00B91876"/>
    <w:rsid w:val="00B91B4D"/>
    <w:rsid w:val="00B91CE2"/>
    <w:rsid w:val="00B91D75"/>
    <w:rsid w:val="00B91D8D"/>
    <w:rsid w:val="00B91F20"/>
    <w:rsid w:val="00B92046"/>
    <w:rsid w:val="00B92212"/>
    <w:rsid w:val="00B92241"/>
    <w:rsid w:val="00B92838"/>
    <w:rsid w:val="00B9286F"/>
    <w:rsid w:val="00B929BD"/>
    <w:rsid w:val="00B92A84"/>
    <w:rsid w:val="00B92F44"/>
    <w:rsid w:val="00B9329D"/>
    <w:rsid w:val="00B93AFD"/>
    <w:rsid w:val="00B93D91"/>
    <w:rsid w:val="00B93E53"/>
    <w:rsid w:val="00B93E54"/>
    <w:rsid w:val="00B94195"/>
    <w:rsid w:val="00B943B2"/>
    <w:rsid w:val="00B94497"/>
    <w:rsid w:val="00B94653"/>
    <w:rsid w:val="00B947DA"/>
    <w:rsid w:val="00B94946"/>
    <w:rsid w:val="00B94E17"/>
    <w:rsid w:val="00B956D5"/>
    <w:rsid w:val="00B956F1"/>
    <w:rsid w:val="00B95E73"/>
    <w:rsid w:val="00B95F5C"/>
    <w:rsid w:val="00B95FF6"/>
    <w:rsid w:val="00B9609D"/>
    <w:rsid w:val="00B960F8"/>
    <w:rsid w:val="00B96404"/>
    <w:rsid w:val="00B96808"/>
    <w:rsid w:val="00B96985"/>
    <w:rsid w:val="00B96B7B"/>
    <w:rsid w:val="00B96E1E"/>
    <w:rsid w:val="00B96EE2"/>
    <w:rsid w:val="00B976AF"/>
    <w:rsid w:val="00B97724"/>
    <w:rsid w:val="00B97733"/>
    <w:rsid w:val="00B97BF6"/>
    <w:rsid w:val="00B97FD7"/>
    <w:rsid w:val="00BA00A2"/>
    <w:rsid w:val="00BA0248"/>
    <w:rsid w:val="00BA04E7"/>
    <w:rsid w:val="00BA08D0"/>
    <w:rsid w:val="00BA0B2C"/>
    <w:rsid w:val="00BA0BD7"/>
    <w:rsid w:val="00BA0DB5"/>
    <w:rsid w:val="00BA1157"/>
    <w:rsid w:val="00BA1A4A"/>
    <w:rsid w:val="00BA1BBB"/>
    <w:rsid w:val="00BA1D2B"/>
    <w:rsid w:val="00BA267D"/>
    <w:rsid w:val="00BA295F"/>
    <w:rsid w:val="00BA2CCF"/>
    <w:rsid w:val="00BA2F8F"/>
    <w:rsid w:val="00BA2FD3"/>
    <w:rsid w:val="00BA31E8"/>
    <w:rsid w:val="00BA324D"/>
    <w:rsid w:val="00BA33B8"/>
    <w:rsid w:val="00BA35A4"/>
    <w:rsid w:val="00BA3807"/>
    <w:rsid w:val="00BA388A"/>
    <w:rsid w:val="00BA3A4A"/>
    <w:rsid w:val="00BA433E"/>
    <w:rsid w:val="00BA45AC"/>
    <w:rsid w:val="00BA489A"/>
    <w:rsid w:val="00BA5535"/>
    <w:rsid w:val="00BA56D2"/>
    <w:rsid w:val="00BA5732"/>
    <w:rsid w:val="00BA5733"/>
    <w:rsid w:val="00BA586A"/>
    <w:rsid w:val="00BA5B60"/>
    <w:rsid w:val="00BA5C3D"/>
    <w:rsid w:val="00BA5CA1"/>
    <w:rsid w:val="00BA6200"/>
    <w:rsid w:val="00BA6240"/>
    <w:rsid w:val="00BA6300"/>
    <w:rsid w:val="00BA689C"/>
    <w:rsid w:val="00BA6C96"/>
    <w:rsid w:val="00BA6CFD"/>
    <w:rsid w:val="00BA6F62"/>
    <w:rsid w:val="00BA73E8"/>
    <w:rsid w:val="00BA75DD"/>
    <w:rsid w:val="00BB0006"/>
    <w:rsid w:val="00BB0290"/>
    <w:rsid w:val="00BB04C5"/>
    <w:rsid w:val="00BB078A"/>
    <w:rsid w:val="00BB085B"/>
    <w:rsid w:val="00BB0F43"/>
    <w:rsid w:val="00BB1001"/>
    <w:rsid w:val="00BB12D6"/>
    <w:rsid w:val="00BB14B6"/>
    <w:rsid w:val="00BB1C81"/>
    <w:rsid w:val="00BB1C9F"/>
    <w:rsid w:val="00BB1D85"/>
    <w:rsid w:val="00BB1E87"/>
    <w:rsid w:val="00BB2031"/>
    <w:rsid w:val="00BB21A1"/>
    <w:rsid w:val="00BB225F"/>
    <w:rsid w:val="00BB22CC"/>
    <w:rsid w:val="00BB250E"/>
    <w:rsid w:val="00BB2594"/>
    <w:rsid w:val="00BB28C4"/>
    <w:rsid w:val="00BB2C51"/>
    <w:rsid w:val="00BB2CAF"/>
    <w:rsid w:val="00BB2EBA"/>
    <w:rsid w:val="00BB2F87"/>
    <w:rsid w:val="00BB3037"/>
    <w:rsid w:val="00BB397D"/>
    <w:rsid w:val="00BB39A1"/>
    <w:rsid w:val="00BB3A08"/>
    <w:rsid w:val="00BB3D21"/>
    <w:rsid w:val="00BB4019"/>
    <w:rsid w:val="00BB4385"/>
    <w:rsid w:val="00BB4657"/>
    <w:rsid w:val="00BB473C"/>
    <w:rsid w:val="00BB47E1"/>
    <w:rsid w:val="00BB4866"/>
    <w:rsid w:val="00BB48CA"/>
    <w:rsid w:val="00BB4B4E"/>
    <w:rsid w:val="00BB4DE7"/>
    <w:rsid w:val="00BB4EE5"/>
    <w:rsid w:val="00BB4FD5"/>
    <w:rsid w:val="00BB5776"/>
    <w:rsid w:val="00BB5A78"/>
    <w:rsid w:val="00BB5A89"/>
    <w:rsid w:val="00BB5BD5"/>
    <w:rsid w:val="00BB5DAF"/>
    <w:rsid w:val="00BB5FFD"/>
    <w:rsid w:val="00BB622B"/>
    <w:rsid w:val="00BB6848"/>
    <w:rsid w:val="00BB6852"/>
    <w:rsid w:val="00BB69FB"/>
    <w:rsid w:val="00BB7119"/>
    <w:rsid w:val="00BB7549"/>
    <w:rsid w:val="00BB7932"/>
    <w:rsid w:val="00BB7BC0"/>
    <w:rsid w:val="00BB7E52"/>
    <w:rsid w:val="00BC02CE"/>
    <w:rsid w:val="00BC032F"/>
    <w:rsid w:val="00BC0422"/>
    <w:rsid w:val="00BC06CF"/>
    <w:rsid w:val="00BC0CA4"/>
    <w:rsid w:val="00BC1221"/>
    <w:rsid w:val="00BC13BA"/>
    <w:rsid w:val="00BC14C4"/>
    <w:rsid w:val="00BC1FEC"/>
    <w:rsid w:val="00BC26E6"/>
    <w:rsid w:val="00BC286A"/>
    <w:rsid w:val="00BC29FE"/>
    <w:rsid w:val="00BC2B34"/>
    <w:rsid w:val="00BC2E7C"/>
    <w:rsid w:val="00BC3508"/>
    <w:rsid w:val="00BC3E32"/>
    <w:rsid w:val="00BC424C"/>
    <w:rsid w:val="00BC453D"/>
    <w:rsid w:val="00BC4B51"/>
    <w:rsid w:val="00BC4CCA"/>
    <w:rsid w:val="00BC4F2A"/>
    <w:rsid w:val="00BC50A8"/>
    <w:rsid w:val="00BC52E1"/>
    <w:rsid w:val="00BC56FA"/>
    <w:rsid w:val="00BC5883"/>
    <w:rsid w:val="00BC59E2"/>
    <w:rsid w:val="00BC5AB9"/>
    <w:rsid w:val="00BC5E25"/>
    <w:rsid w:val="00BC5F6D"/>
    <w:rsid w:val="00BC613D"/>
    <w:rsid w:val="00BC642E"/>
    <w:rsid w:val="00BC64F4"/>
    <w:rsid w:val="00BC6725"/>
    <w:rsid w:val="00BC6AE0"/>
    <w:rsid w:val="00BC6AEE"/>
    <w:rsid w:val="00BC6E4E"/>
    <w:rsid w:val="00BC715A"/>
    <w:rsid w:val="00BC71EB"/>
    <w:rsid w:val="00BC7719"/>
    <w:rsid w:val="00BC7A8B"/>
    <w:rsid w:val="00BC7C42"/>
    <w:rsid w:val="00BD06EA"/>
    <w:rsid w:val="00BD0703"/>
    <w:rsid w:val="00BD0F5F"/>
    <w:rsid w:val="00BD1271"/>
    <w:rsid w:val="00BD148A"/>
    <w:rsid w:val="00BD14AF"/>
    <w:rsid w:val="00BD1741"/>
    <w:rsid w:val="00BD1C51"/>
    <w:rsid w:val="00BD1CCC"/>
    <w:rsid w:val="00BD20E2"/>
    <w:rsid w:val="00BD246F"/>
    <w:rsid w:val="00BD27B5"/>
    <w:rsid w:val="00BD2AF9"/>
    <w:rsid w:val="00BD315E"/>
    <w:rsid w:val="00BD34E0"/>
    <w:rsid w:val="00BD4268"/>
    <w:rsid w:val="00BD4651"/>
    <w:rsid w:val="00BD47F7"/>
    <w:rsid w:val="00BD4BCB"/>
    <w:rsid w:val="00BD4C7F"/>
    <w:rsid w:val="00BD4C8B"/>
    <w:rsid w:val="00BD5081"/>
    <w:rsid w:val="00BD538F"/>
    <w:rsid w:val="00BD541F"/>
    <w:rsid w:val="00BD548C"/>
    <w:rsid w:val="00BD579F"/>
    <w:rsid w:val="00BD594D"/>
    <w:rsid w:val="00BD5F57"/>
    <w:rsid w:val="00BD6032"/>
    <w:rsid w:val="00BD655C"/>
    <w:rsid w:val="00BD7082"/>
    <w:rsid w:val="00BD7091"/>
    <w:rsid w:val="00BD779F"/>
    <w:rsid w:val="00BE0156"/>
    <w:rsid w:val="00BE0311"/>
    <w:rsid w:val="00BE0BEC"/>
    <w:rsid w:val="00BE0C3A"/>
    <w:rsid w:val="00BE0CB6"/>
    <w:rsid w:val="00BE0D95"/>
    <w:rsid w:val="00BE0DF7"/>
    <w:rsid w:val="00BE0F6C"/>
    <w:rsid w:val="00BE1309"/>
    <w:rsid w:val="00BE1316"/>
    <w:rsid w:val="00BE194A"/>
    <w:rsid w:val="00BE1D30"/>
    <w:rsid w:val="00BE1FB5"/>
    <w:rsid w:val="00BE20BE"/>
    <w:rsid w:val="00BE2C2C"/>
    <w:rsid w:val="00BE2EDB"/>
    <w:rsid w:val="00BE324B"/>
    <w:rsid w:val="00BE351F"/>
    <w:rsid w:val="00BE3803"/>
    <w:rsid w:val="00BE39F7"/>
    <w:rsid w:val="00BE3C9E"/>
    <w:rsid w:val="00BE55E3"/>
    <w:rsid w:val="00BE58ED"/>
    <w:rsid w:val="00BE5F9A"/>
    <w:rsid w:val="00BE6B96"/>
    <w:rsid w:val="00BE6F21"/>
    <w:rsid w:val="00BE711F"/>
    <w:rsid w:val="00BE7A34"/>
    <w:rsid w:val="00BE7A75"/>
    <w:rsid w:val="00BE7FFD"/>
    <w:rsid w:val="00BF0206"/>
    <w:rsid w:val="00BF033B"/>
    <w:rsid w:val="00BF033C"/>
    <w:rsid w:val="00BF073D"/>
    <w:rsid w:val="00BF07D1"/>
    <w:rsid w:val="00BF081C"/>
    <w:rsid w:val="00BF0900"/>
    <w:rsid w:val="00BF1125"/>
    <w:rsid w:val="00BF11BB"/>
    <w:rsid w:val="00BF1710"/>
    <w:rsid w:val="00BF19DC"/>
    <w:rsid w:val="00BF1A03"/>
    <w:rsid w:val="00BF1DEA"/>
    <w:rsid w:val="00BF1FC2"/>
    <w:rsid w:val="00BF26A5"/>
    <w:rsid w:val="00BF2700"/>
    <w:rsid w:val="00BF2A43"/>
    <w:rsid w:val="00BF2C22"/>
    <w:rsid w:val="00BF2C61"/>
    <w:rsid w:val="00BF2CBE"/>
    <w:rsid w:val="00BF2F32"/>
    <w:rsid w:val="00BF2F79"/>
    <w:rsid w:val="00BF3339"/>
    <w:rsid w:val="00BF394F"/>
    <w:rsid w:val="00BF3A51"/>
    <w:rsid w:val="00BF3DF1"/>
    <w:rsid w:val="00BF3EAC"/>
    <w:rsid w:val="00BF407F"/>
    <w:rsid w:val="00BF4183"/>
    <w:rsid w:val="00BF4186"/>
    <w:rsid w:val="00BF436B"/>
    <w:rsid w:val="00BF4452"/>
    <w:rsid w:val="00BF45AE"/>
    <w:rsid w:val="00BF4711"/>
    <w:rsid w:val="00BF4BF2"/>
    <w:rsid w:val="00BF4DF0"/>
    <w:rsid w:val="00BF564C"/>
    <w:rsid w:val="00BF573A"/>
    <w:rsid w:val="00BF58CF"/>
    <w:rsid w:val="00BF5F53"/>
    <w:rsid w:val="00BF61CF"/>
    <w:rsid w:val="00BF650B"/>
    <w:rsid w:val="00BF6984"/>
    <w:rsid w:val="00BF6DB4"/>
    <w:rsid w:val="00BF6E39"/>
    <w:rsid w:val="00BF6F3C"/>
    <w:rsid w:val="00BF6F74"/>
    <w:rsid w:val="00BF6F9D"/>
    <w:rsid w:val="00BF740A"/>
    <w:rsid w:val="00BF78AF"/>
    <w:rsid w:val="00BF7B50"/>
    <w:rsid w:val="00BF7F73"/>
    <w:rsid w:val="00BF7F98"/>
    <w:rsid w:val="00C0006F"/>
    <w:rsid w:val="00C0013C"/>
    <w:rsid w:val="00C00533"/>
    <w:rsid w:val="00C00880"/>
    <w:rsid w:val="00C00C56"/>
    <w:rsid w:val="00C00D77"/>
    <w:rsid w:val="00C01119"/>
    <w:rsid w:val="00C011E6"/>
    <w:rsid w:val="00C0193E"/>
    <w:rsid w:val="00C019DE"/>
    <w:rsid w:val="00C01B8A"/>
    <w:rsid w:val="00C01F89"/>
    <w:rsid w:val="00C02216"/>
    <w:rsid w:val="00C0236B"/>
    <w:rsid w:val="00C02438"/>
    <w:rsid w:val="00C02590"/>
    <w:rsid w:val="00C02A1A"/>
    <w:rsid w:val="00C02F7A"/>
    <w:rsid w:val="00C0301B"/>
    <w:rsid w:val="00C032F8"/>
    <w:rsid w:val="00C033C8"/>
    <w:rsid w:val="00C0352D"/>
    <w:rsid w:val="00C035EF"/>
    <w:rsid w:val="00C0367E"/>
    <w:rsid w:val="00C038A9"/>
    <w:rsid w:val="00C0390D"/>
    <w:rsid w:val="00C03A82"/>
    <w:rsid w:val="00C0409A"/>
    <w:rsid w:val="00C0451D"/>
    <w:rsid w:val="00C045D3"/>
    <w:rsid w:val="00C048CC"/>
    <w:rsid w:val="00C04905"/>
    <w:rsid w:val="00C04E7E"/>
    <w:rsid w:val="00C05095"/>
    <w:rsid w:val="00C055E0"/>
    <w:rsid w:val="00C05CA6"/>
    <w:rsid w:val="00C05DCA"/>
    <w:rsid w:val="00C05F9F"/>
    <w:rsid w:val="00C06B98"/>
    <w:rsid w:val="00C06F8F"/>
    <w:rsid w:val="00C071FF"/>
    <w:rsid w:val="00C072FC"/>
    <w:rsid w:val="00C074B7"/>
    <w:rsid w:val="00C07A43"/>
    <w:rsid w:val="00C1020D"/>
    <w:rsid w:val="00C10226"/>
    <w:rsid w:val="00C10343"/>
    <w:rsid w:val="00C10A49"/>
    <w:rsid w:val="00C10BD6"/>
    <w:rsid w:val="00C10CD6"/>
    <w:rsid w:val="00C10DC9"/>
    <w:rsid w:val="00C10E6A"/>
    <w:rsid w:val="00C1127B"/>
    <w:rsid w:val="00C11633"/>
    <w:rsid w:val="00C118E6"/>
    <w:rsid w:val="00C1210C"/>
    <w:rsid w:val="00C12228"/>
    <w:rsid w:val="00C1229A"/>
    <w:rsid w:val="00C12873"/>
    <w:rsid w:val="00C12A83"/>
    <w:rsid w:val="00C12E23"/>
    <w:rsid w:val="00C13389"/>
    <w:rsid w:val="00C133D7"/>
    <w:rsid w:val="00C135AC"/>
    <w:rsid w:val="00C1367D"/>
    <w:rsid w:val="00C139AC"/>
    <w:rsid w:val="00C13A13"/>
    <w:rsid w:val="00C13F5D"/>
    <w:rsid w:val="00C14226"/>
    <w:rsid w:val="00C14397"/>
    <w:rsid w:val="00C144A0"/>
    <w:rsid w:val="00C14662"/>
    <w:rsid w:val="00C14900"/>
    <w:rsid w:val="00C14E3F"/>
    <w:rsid w:val="00C14F76"/>
    <w:rsid w:val="00C154CC"/>
    <w:rsid w:val="00C15D07"/>
    <w:rsid w:val="00C16462"/>
    <w:rsid w:val="00C16AC2"/>
    <w:rsid w:val="00C16BA7"/>
    <w:rsid w:val="00C16DCD"/>
    <w:rsid w:val="00C1709C"/>
    <w:rsid w:val="00C17621"/>
    <w:rsid w:val="00C176C5"/>
    <w:rsid w:val="00C17740"/>
    <w:rsid w:val="00C178FB"/>
    <w:rsid w:val="00C17919"/>
    <w:rsid w:val="00C17A15"/>
    <w:rsid w:val="00C17A62"/>
    <w:rsid w:val="00C17B2E"/>
    <w:rsid w:val="00C17B9A"/>
    <w:rsid w:val="00C20060"/>
    <w:rsid w:val="00C2013E"/>
    <w:rsid w:val="00C20154"/>
    <w:rsid w:val="00C20697"/>
    <w:rsid w:val="00C20713"/>
    <w:rsid w:val="00C207BA"/>
    <w:rsid w:val="00C20A0B"/>
    <w:rsid w:val="00C210E0"/>
    <w:rsid w:val="00C2121D"/>
    <w:rsid w:val="00C21245"/>
    <w:rsid w:val="00C2136C"/>
    <w:rsid w:val="00C21487"/>
    <w:rsid w:val="00C21933"/>
    <w:rsid w:val="00C21D7F"/>
    <w:rsid w:val="00C22CC6"/>
    <w:rsid w:val="00C22D53"/>
    <w:rsid w:val="00C22EE3"/>
    <w:rsid w:val="00C22F69"/>
    <w:rsid w:val="00C2322F"/>
    <w:rsid w:val="00C2325F"/>
    <w:rsid w:val="00C2362C"/>
    <w:rsid w:val="00C23B84"/>
    <w:rsid w:val="00C23DC4"/>
    <w:rsid w:val="00C23E8C"/>
    <w:rsid w:val="00C23F8C"/>
    <w:rsid w:val="00C2412D"/>
    <w:rsid w:val="00C246FE"/>
    <w:rsid w:val="00C24851"/>
    <w:rsid w:val="00C248BB"/>
    <w:rsid w:val="00C2492E"/>
    <w:rsid w:val="00C24FB5"/>
    <w:rsid w:val="00C2519E"/>
    <w:rsid w:val="00C252E1"/>
    <w:rsid w:val="00C252E4"/>
    <w:rsid w:val="00C25C04"/>
    <w:rsid w:val="00C25E57"/>
    <w:rsid w:val="00C25F4B"/>
    <w:rsid w:val="00C261E0"/>
    <w:rsid w:val="00C263CC"/>
    <w:rsid w:val="00C26442"/>
    <w:rsid w:val="00C265E9"/>
    <w:rsid w:val="00C26AA6"/>
    <w:rsid w:val="00C26BF4"/>
    <w:rsid w:val="00C27518"/>
    <w:rsid w:val="00C275C7"/>
    <w:rsid w:val="00C27726"/>
    <w:rsid w:val="00C27969"/>
    <w:rsid w:val="00C279A0"/>
    <w:rsid w:val="00C27B0E"/>
    <w:rsid w:val="00C27DE8"/>
    <w:rsid w:val="00C27E12"/>
    <w:rsid w:val="00C30038"/>
    <w:rsid w:val="00C30125"/>
    <w:rsid w:val="00C3018C"/>
    <w:rsid w:val="00C3045A"/>
    <w:rsid w:val="00C30520"/>
    <w:rsid w:val="00C30842"/>
    <w:rsid w:val="00C30EFD"/>
    <w:rsid w:val="00C31026"/>
    <w:rsid w:val="00C31720"/>
    <w:rsid w:val="00C31826"/>
    <w:rsid w:val="00C31848"/>
    <w:rsid w:val="00C31A94"/>
    <w:rsid w:val="00C31B34"/>
    <w:rsid w:val="00C31C15"/>
    <w:rsid w:val="00C31DBF"/>
    <w:rsid w:val="00C31FBE"/>
    <w:rsid w:val="00C3217E"/>
    <w:rsid w:val="00C32249"/>
    <w:rsid w:val="00C322F4"/>
    <w:rsid w:val="00C3235D"/>
    <w:rsid w:val="00C32781"/>
    <w:rsid w:val="00C327AE"/>
    <w:rsid w:val="00C328D8"/>
    <w:rsid w:val="00C32AD0"/>
    <w:rsid w:val="00C32D46"/>
    <w:rsid w:val="00C32DFF"/>
    <w:rsid w:val="00C32E9F"/>
    <w:rsid w:val="00C32FF7"/>
    <w:rsid w:val="00C33437"/>
    <w:rsid w:val="00C33747"/>
    <w:rsid w:val="00C3374B"/>
    <w:rsid w:val="00C33BF3"/>
    <w:rsid w:val="00C3435E"/>
    <w:rsid w:val="00C34728"/>
    <w:rsid w:val="00C348B6"/>
    <w:rsid w:val="00C34AC3"/>
    <w:rsid w:val="00C34BC9"/>
    <w:rsid w:val="00C35702"/>
    <w:rsid w:val="00C357CE"/>
    <w:rsid w:val="00C36136"/>
    <w:rsid w:val="00C36746"/>
    <w:rsid w:val="00C3682B"/>
    <w:rsid w:val="00C3685E"/>
    <w:rsid w:val="00C36E9E"/>
    <w:rsid w:val="00C36F76"/>
    <w:rsid w:val="00C3736A"/>
    <w:rsid w:val="00C37B07"/>
    <w:rsid w:val="00C40281"/>
    <w:rsid w:val="00C40493"/>
    <w:rsid w:val="00C408AD"/>
    <w:rsid w:val="00C41129"/>
    <w:rsid w:val="00C4136C"/>
    <w:rsid w:val="00C413B0"/>
    <w:rsid w:val="00C41B71"/>
    <w:rsid w:val="00C4264A"/>
    <w:rsid w:val="00C42AAB"/>
    <w:rsid w:val="00C42BC0"/>
    <w:rsid w:val="00C42EB6"/>
    <w:rsid w:val="00C42FBB"/>
    <w:rsid w:val="00C43116"/>
    <w:rsid w:val="00C43800"/>
    <w:rsid w:val="00C43945"/>
    <w:rsid w:val="00C44709"/>
    <w:rsid w:val="00C44BE4"/>
    <w:rsid w:val="00C44CB7"/>
    <w:rsid w:val="00C44CB9"/>
    <w:rsid w:val="00C44EE3"/>
    <w:rsid w:val="00C45601"/>
    <w:rsid w:val="00C458AB"/>
    <w:rsid w:val="00C45DAC"/>
    <w:rsid w:val="00C462D8"/>
    <w:rsid w:val="00C462F2"/>
    <w:rsid w:val="00C46C0E"/>
    <w:rsid w:val="00C471C7"/>
    <w:rsid w:val="00C47420"/>
    <w:rsid w:val="00C47AC0"/>
    <w:rsid w:val="00C47B7A"/>
    <w:rsid w:val="00C47BCE"/>
    <w:rsid w:val="00C47C45"/>
    <w:rsid w:val="00C47F08"/>
    <w:rsid w:val="00C47FE3"/>
    <w:rsid w:val="00C503DB"/>
    <w:rsid w:val="00C503F9"/>
    <w:rsid w:val="00C5056B"/>
    <w:rsid w:val="00C50644"/>
    <w:rsid w:val="00C50670"/>
    <w:rsid w:val="00C50A8E"/>
    <w:rsid w:val="00C50E4D"/>
    <w:rsid w:val="00C515E7"/>
    <w:rsid w:val="00C5208A"/>
    <w:rsid w:val="00C52352"/>
    <w:rsid w:val="00C5268F"/>
    <w:rsid w:val="00C53344"/>
    <w:rsid w:val="00C5347A"/>
    <w:rsid w:val="00C53890"/>
    <w:rsid w:val="00C539DA"/>
    <w:rsid w:val="00C53EAD"/>
    <w:rsid w:val="00C542AA"/>
    <w:rsid w:val="00C54485"/>
    <w:rsid w:val="00C546DE"/>
    <w:rsid w:val="00C5476E"/>
    <w:rsid w:val="00C547EA"/>
    <w:rsid w:val="00C548A2"/>
    <w:rsid w:val="00C54900"/>
    <w:rsid w:val="00C54B31"/>
    <w:rsid w:val="00C54CDC"/>
    <w:rsid w:val="00C54F8B"/>
    <w:rsid w:val="00C551ED"/>
    <w:rsid w:val="00C55245"/>
    <w:rsid w:val="00C55387"/>
    <w:rsid w:val="00C553DA"/>
    <w:rsid w:val="00C55CE0"/>
    <w:rsid w:val="00C55DDE"/>
    <w:rsid w:val="00C55EAB"/>
    <w:rsid w:val="00C55FF0"/>
    <w:rsid w:val="00C565BA"/>
    <w:rsid w:val="00C56616"/>
    <w:rsid w:val="00C56736"/>
    <w:rsid w:val="00C568B4"/>
    <w:rsid w:val="00C56A9D"/>
    <w:rsid w:val="00C56CBF"/>
    <w:rsid w:val="00C5734E"/>
    <w:rsid w:val="00C57708"/>
    <w:rsid w:val="00C5799C"/>
    <w:rsid w:val="00C579E8"/>
    <w:rsid w:val="00C57A93"/>
    <w:rsid w:val="00C60387"/>
    <w:rsid w:val="00C604D6"/>
    <w:rsid w:val="00C60519"/>
    <w:rsid w:val="00C608EC"/>
    <w:rsid w:val="00C608F5"/>
    <w:rsid w:val="00C60A60"/>
    <w:rsid w:val="00C60B7E"/>
    <w:rsid w:val="00C60C50"/>
    <w:rsid w:val="00C61356"/>
    <w:rsid w:val="00C6149C"/>
    <w:rsid w:val="00C6164F"/>
    <w:rsid w:val="00C6172C"/>
    <w:rsid w:val="00C6187C"/>
    <w:rsid w:val="00C61F22"/>
    <w:rsid w:val="00C62008"/>
    <w:rsid w:val="00C622F9"/>
    <w:rsid w:val="00C62382"/>
    <w:rsid w:val="00C6273C"/>
    <w:rsid w:val="00C627B3"/>
    <w:rsid w:val="00C628FB"/>
    <w:rsid w:val="00C62A02"/>
    <w:rsid w:val="00C62EBA"/>
    <w:rsid w:val="00C62FC6"/>
    <w:rsid w:val="00C63088"/>
    <w:rsid w:val="00C631A4"/>
    <w:rsid w:val="00C633AD"/>
    <w:rsid w:val="00C63473"/>
    <w:rsid w:val="00C6390F"/>
    <w:rsid w:val="00C63F35"/>
    <w:rsid w:val="00C6428D"/>
    <w:rsid w:val="00C644D9"/>
    <w:rsid w:val="00C647A9"/>
    <w:rsid w:val="00C64AEA"/>
    <w:rsid w:val="00C64E85"/>
    <w:rsid w:val="00C64FE4"/>
    <w:rsid w:val="00C65005"/>
    <w:rsid w:val="00C65736"/>
    <w:rsid w:val="00C65AC8"/>
    <w:rsid w:val="00C65E59"/>
    <w:rsid w:val="00C662D7"/>
    <w:rsid w:val="00C66697"/>
    <w:rsid w:val="00C66A15"/>
    <w:rsid w:val="00C66CCA"/>
    <w:rsid w:val="00C66CFF"/>
    <w:rsid w:val="00C66E8A"/>
    <w:rsid w:val="00C66FF9"/>
    <w:rsid w:val="00C6728B"/>
    <w:rsid w:val="00C67312"/>
    <w:rsid w:val="00C67387"/>
    <w:rsid w:val="00C674C3"/>
    <w:rsid w:val="00C677AC"/>
    <w:rsid w:val="00C678A6"/>
    <w:rsid w:val="00C679F9"/>
    <w:rsid w:val="00C67E39"/>
    <w:rsid w:val="00C70072"/>
    <w:rsid w:val="00C709BB"/>
    <w:rsid w:val="00C70A48"/>
    <w:rsid w:val="00C70F66"/>
    <w:rsid w:val="00C71353"/>
    <w:rsid w:val="00C713AD"/>
    <w:rsid w:val="00C717DE"/>
    <w:rsid w:val="00C71B23"/>
    <w:rsid w:val="00C722FE"/>
    <w:rsid w:val="00C725FF"/>
    <w:rsid w:val="00C72ECD"/>
    <w:rsid w:val="00C73172"/>
    <w:rsid w:val="00C73562"/>
    <w:rsid w:val="00C735E5"/>
    <w:rsid w:val="00C73746"/>
    <w:rsid w:val="00C739EC"/>
    <w:rsid w:val="00C73FE0"/>
    <w:rsid w:val="00C74894"/>
    <w:rsid w:val="00C74DD8"/>
    <w:rsid w:val="00C74E10"/>
    <w:rsid w:val="00C74F8F"/>
    <w:rsid w:val="00C74FD4"/>
    <w:rsid w:val="00C7524E"/>
    <w:rsid w:val="00C75A46"/>
    <w:rsid w:val="00C75B93"/>
    <w:rsid w:val="00C75D7E"/>
    <w:rsid w:val="00C75F4B"/>
    <w:rsid w:val="00C762E0"/>
    <w:rsid w:val="00C765FE"/>
    <w:rsid w:val="00C76857"/>
    <w:rsid w:val="00C77218"/>
    <w:rsid w:val="00C77422"/>
    <w:rsid w:val="00C77515"/>
    <w:rsid w:val="00C7752E"/>
    <w:rsid w:val="00C7765E"/>
    <w:rsid w:val="00C7792A"/>
    <w:rsid w:val="00C77DB4"/>
    <w:rsid w:val="00C804F6"/>
    <w:rsid w:val="00C808AD"/>
    <w:rsid w:val="00C80BA3"/>
    <w:rsid w:val="00C80C15"/>
    <w:rsid w:val="00C80C3D"/>
    <w:rsid w:val="00C80F78"/>
    <w:rsid w:val="00C80FFA"/>
    <w:rsid w:val="00C815C1"/>
    <w:rsid w:val="00C81814"/>
    <w:rsid w:val="00C81D1D"/>
    <w:rsid w:val="00C81ED8"/>
    <w:rsid w:val="00C821B4"/>
    <w:rsid w:val="00C8236C"/>
    <w:rsid w:val="00C82492"/>
    <w:rsid w:val="00C824E4"/>
    <w:rsid w:val="00C82A10"/>
    <w:rsid w:val="00C82D10"/>
    <w:rsid w:val="00C82D7C"/>
    <w:rsid w:val="00C82FC7"/>
    <w:rsid w:val="00C83405"/>
    <w:rsid w:val="00C836AF"/>
    <w:rsid w:val="00C836D4"/>
    <w:rsid w:val="00C8380F"/>
    <w:rsid w:val="00C83835"/>
    <w:rsid w:val="00C83A1E"/>
    <w:rsid w:val="00C83A4A"/>
    <w:rsid w:val="00C83AE5"/>
    <w:rsid w:val="00C83DD9"/>
    <w:rsid w:val="00C84085"/>
    <w:rsid w:val="00C8431D"/>
    <w:rsid w:val="00C84589"/>
    <w:rsid w:val="00C8458F"/>
    <w:rsid w:val="00C8491D"/>
    <w:rsid w:val="00C84A10"/>
    <w:rsid w:val="00C84E89"/>
    <w:rsid w:val="00C84E96"/>
    <w:rsid w:val="00C8551A"/>
    <w:rsid w:val="00C85D54"/>
    <w:rsid w:val="00C85E6E"/>
    <w:rsid w:val="00C85EDE"/>
    <w:rsid w:val="00C860EC"/>
    <w:rsid w:val="00C861A5"/>
    <w:rsid w:val="00C866CA"/>
    <w:rsid w:val="00C86736"/>
    <w:rsid w:val="00C86A84"/>
    <w:rsid w:val="00C86FAA"/>
    <w:rsid w:val="00C8709C"/>
    <w:rsid w:val="00C87128"/>
    <w:rsid w:val="00C87BEA"/>
    <w:rsid w:val="00C87DAE"/>
    <w:rsid w:val="00C90007"/>
    <w:rsid w:val="00C90182"/>
    <w:rsid w:val="00C901C6"/>
    <w:rsid w:val="00C902DC"/>
    <w:rsid w:val="00C90605"/>
    <w:rsid w:val="00C90616"/>
    <w:rsid w:val="00C90628"/>
    <w:rsid w:val="00C90A1A"/>
    <w:rsid w:val="00C90E56"/>
    <w:rsid w:val="00C90E6B"/>
    <w:rsid w:val="00C91569"/>
    <w:rsid w:val="00C916FD"/>
    <w:rsid w:val="00C9197D"/>
    <w:rsid w:val="00C91C4D"/>
    <w:rsid w:val="00C91C7D"/>
    <w:rsid w:val="00C91C95"/>
    <w:rsid w:val="00C91C9C"/>
    <w:rsid w:val="00C91E76"/>
    <w:rsid w:val="00C921F8"/>
    <w:rsid w:val="00C92319"/>
    <w:rsid w:val="00C92BF3"/>
    <w:rsid w:val="00C92EDC"/>
    <w:rsid w:val="00C9302B"/>
    <w:rsid w:val="00C9308A"/>
    <w:rsid w:val="00C930EE"/>
    <w:rsid w:val="00C93160"/>
    <w:rsid w:val="00C9357B"/>
    <w:rsid w:val="00C93E4E"/>
    <w:rsid w:val="00C93F15"/>
    <w:rsid w:val="00C94071"/>
    <w:rsid w:val="00C94093"/>
    <w:rsid w:val="00C94114"/>
    <w:rsid w:val="00C942E3"/>
    <w:rsid w:val="00C9481A"/>
    <w:rsid w:val="00C9535D"/>
    <w:rsid w:val="00C957AE"/>
    <w:rsid w:val="00C957DC"/>
    <w:rsid w:val="00C95C0C"/>
    <w:rsid w:val="00C95DFC"/>
    <w:rsid w:val="00C95FE9"/>
    <w:rsid w:val="00C95FFC"/>
    <w:rsid w:val="00C96184"/>
    <w:rsid w:val="00C96190"/>
    <w:rsid w:val="00C96761"/>
    <w:rsid w:val="00C96B7C"/>
    <w:rsid w:val="00C96FF2"/>
    <w:rsid w:val="00C973C5"/>
    <w:rsid w:val="00C9785A"/>
    <w:rsid w:val="00C979CE"/>
    <w:rsid w:val="00C97D5D"/>
    <w:rsid w:val="00CA021C"/>
    <w:rsid w:val="00CA02AD"/>
    <w:rsid w:val="00CA076F"/>
    <w:rsid w:val="00CA0E7F"/>
    <w:rsid w:val="00CA0EE6"/>
    <w:rsid w:val="00CA14AC"/>
    <w:rsid w:val="00CA16C7"/>
    <w:rsid w:val="00CA1854"/>
    <w:rsid w:val="00CA1E5C"/>
    <w:rsid w:val="00CA267F"/>
    <w:rsid w:val="00CA28C0"/>
    <w:rsid w:val="00CA2915"/>
    <w:rsid w:val="00CA2961"/>
    <w:rsid w:val="00CA2A80"/>
    <w:rsid w:val="00CA2CB4"/>
    <w:rsid w:val="00CA2E05"/>
    <w:rsid w:val="00CA3114"/>
    <w:rsid w:val="00CA3A64"/>
    <w:rsid w:val="00CA3D69"/>
    <w:rsid w:val="00CA3E19"/>
    <w:rsid w:val="00CA47D4"/>
    <w:rsid w:val="00CA491A"/>
    <w:rsid w:val="00CA492A"/>
    <w:rsid w:val="00CA49D3"/>
    <w:rsid w:val="00CA4FFA"/>
    <w:rsid w:val="00CA506A"/>
    <w:rsid w:val="00CA5401"/>
    <w:rsid w:val="00CA557B"/>
    <w:rsid w:val="00CA5FBD"/>
    <w:rsid w:val="00CA633F"/>
    <w:rsid w:val="00CA635B"/>
    <w:rsid w:val="00CA656D"/>
    <w:rsid w:val="00CA6945"/>
    <w:rsid w:val="00CA6C0E"/>
    <w:rsid w:val="00CA71EC"/>
    <w:rsid w:val="00CA73A7"/>
    <w:rsid w:val="00CA7560"/>
    <w:rsid w:val="00CA7EE5"/>
    <w:rsid w:val="00CB0193"/>
    <w:rsid w:val="00CB0203"/>
    <w:rsid w:val="00CB02E9"/>
    <w:rsid w:val="00CB05A3"/>
    <w:rsid w:val="00CB05B1"/>
    <w:rsid w:val="00CB1253"/>
    <w:rsid w:val="00CB18F4"/>
    <w:rsid w:val="00CB1D4A"/>
    <w:rsid w:val="00CB1F5F"/>
    <w:rsid w:val="00CB202A"/>
    <w:rsid w:val="00CB2306"/>
    <w:rsid w:val="00CB2396"/>
    <w:rsid w:val="00CB23A0"/>
    <w:rsid w:val="00CB253F"/>
    <w:rsid w:val="00CB3201"/>
    <w:rsid w:val="00CB33A9"/>
    <w:rsid w:val="00CB35C5"/>
    <w:rsid w:val="00CB4152"/>
    <w:rsid w:val="00CB4FD4"/>
    <w:rsid w:val="00CB4FE6"/>
    <w:rsid w:val="00CB5087"/>
    <w:rsid w:val="00CB5813"/>
    <w:rsid w:val="00CB5C86"/>
    <w:rsid w:val="00CB5D03"/>
    <w:rsid w:val="00CB5DAE"/>
    <w:rsid w:val="00CB6062"/>
    <w:rsid w:val="00CB6161"/>
    <w:rsid w:val="00CB6691"/>
    <w:rsid w:val="00CB6703"/>
    <w:rsid w:val="00CB68D8"/>
    <w:rsid w:val="00CB7C5C"/>
    <w:rsid w:val="00CC023F"/>
    <w:rsid w:val="00CC0345"/>
    <w:rsid w:val="00CC05D0"/>
    <w:rsid w:val="00CC06F0"/>
    <w:rsid w:val="00CC09A2"/>
    <w:rsid w:val="00CC1069"/>
    <w:rsid w:val="00CC1843"/>
    <w:rsid w:val="00CC1A2C"/>
    <w:rsid w:val="00CC1AF4"/>
    <w:rsid w:val="00CC1C28"/>
    <w:rsid w:val="00CC1D70"/>
    <w:rsid w:val="00CC2044"/>
    <w:rsid w:val="00CC2446"/>
    <w:rsid w:val="00CC28F2"/>
    <w:rsid w:val="00CC2959"/>
    <w:rsid w:val="00CC2A61"/>
    <w:rsid w:val="00CC2CEA"/>
    <w:rsid w:val="00CC2E34"/>
    <w:rsid w:val="00CC2EA8"/>
    <w:rsid w:val="00CC3188"/>
    <w:rsid w:val="00CC319D"/>
    <w:rsid w:val="00CC331A"/>
    <w:rsid w:val="00CC3780"/>
    <w:rsid w:val="00CC37DE"/>
    <w:rsid w:val="00CC3949"/>
    <w:rsid w:val="00CC3AF5"/>
    <w:rsid w:val="00CC3E33"/>
    <w:rsid w:val="00CC4755"/>
    <w:rsid w:val="00CC4C45"/>
    <w:rsid w:val="00CC4CBB"/>
    <w:rsid w:val="00CC4EB0"/>
    <w:rsid w:val="00CC4F9F"/>
    <w:rsid w:val="00CC51A5"/>
    <w:rsid w:val="00CC5386"/>
    <w:rsid w:val="00CC53D4"/>
    <w:rsid w:val="00CC558D"/>
    <w:rsid w:val="00CC5597"/>
    <w:rsid w:val="00CC56B1"/>
    <w:rsid w:val="00CC5781"/>
    <w:rsid w:val="00CC5D07"/>
    <w:rsid w:val="00CC6455"/>
    <w:rsid w:val="00CC6491"/>
    <w:rsid w:val="00CC6A13"/>
    <w:rsid w:val="00CC6F43"/>
    <w:rsid w:val="00CC737D"/>
    <w:rsid w:val="00CC73AD"/>
    <w:rsid w:val="00CC740C"/>
    <w:rsid w:val="00CC747C"/>
    <w:rsid w:val="00CC7D07"/>
    <w:rsid w:val="00CC7F5A"/>
    <w:rsid w:val="00CD0111"/>
    <w:rsid w:val="00CD0278"/>
    <w:rsid w:val="00CD05A0"/>
    <w:rsid w:val="00CD067F"/>
    <w:rsid w:val="00CD0841"/>
    <w:rsid w:val="00CD0D69"/>
    <w:rsid w:val="00CD1003"/>
    <w:rsid w:val="00CD14E2"/>
    <w:rsid w:val="00CD18E1"/>
    <w:rsid w:val="00CD1AFA"/>
    <w:rsid w:val="00CD2C4E"/>
    <w:rsid w:val="00CD2F61"/>
    <w:rsid w:val="00CD31C6"/>
    <w:rsid w:val="00CD31DC"/>
    <w:rsid w:val="00CD3582"/>
    <w:rsid w:val="00CD3619"/>
    <w:rsid w:val="00CD3728"/>
    <w:rsid w:val="00CD3737"/>
    <w:rsid w:val="00CD42EC"/>
    <w:rsid w:val="00CD482B"/>
    <w:rsid w:val="00CD4B3E"/>
    <w:rsid w:val="00CD4BE5"/>
    <w:rsid w:val="00CD4CD2"/>
    <w:rsid w:val="00CD51DE"/>
    <w:rsid w:val="00CD546E"/>
    <w:rsid w:val="00CD5A26"/>
    <w:rsid w:val="00CD5BF8"/>
    <w:rsid w:val="00CD6348"/>
    <w:rsid w:val="00CD6666"/>
    <w:rsid w:val="00CD69DB"/>
    <w:rsid w:val="00CD6D46"/>
    <w:rsid w:val="00CD7394"/>
    <w:rsid w:val="00CD74B9"/>
    <w:rsid w:val="00CD7767"/>
    <w:rsid w:val="00CD79D2"/>
    <w:rsid w:val="00CD7A45"/>
    <w:rsid w:val="00CD7AC2"/>
    <w:rsid w:val="00CD7B5A"/>
    <w:rsid w:val="00CD7C4A"/>
    <w:rsid w:val="00CD7CB8"/>
    <w:rsid w:val="00CD7FA2"/>
    <w:rsid w:val="00CE0052"/>
    <w:rsid w:val="00CE009C"/>
    <w:rsid w:val="00CE011F"/>
    <w:rsid w:val="00CE0557"/>
    <w:rsid w:val="00CE096E"/>
    <w:rsid w:val="00CE0B10"/>
    <w:rsid w:val="00CE13E8"/>
    <w:rsid w:val="00CE177A"/>
    <w:rsid w:val="00CE1D1F"/>
    <w:rsid w:val="00CE1D9B"/>
    <w:rsid w:val="00CE1DA6"/>
    <w:rsid w:val="00CE20D5"/>
    <w:rsid w:val="00CE2540"/>
    <w:rsid w:val="00CE25FF"/>
    <w:rsid w:val="00CE26CB"/>
    <w:rsid w:val="00CE27D5"/>
    <w:rsid w:val="00CE2A1A"/>
    <w:rsid w:val="00CE2AC1"/>
    <w:rsid w:val="00CE2C41"/>
    <w:rsid w:val="00CE2D87"/>
    <w:rsid w:val="00CE37C8"/>
    <w:rsid w:val="00CE3945"/>
    <w:rsid w:val="00CE3BB1"/>
    <w:rsid w:val="00CE3BE3"/>
    <w:rsid w:val="00CE3E74"/>
    <w:rsid w:val="00CE4008"/>
    <w:rsid w:val="00CE4111"/>
    <w:rsid w:val="00CE41BF"/>
    <w:rsid w:val="00CE4815"/>
    <w:rsid w:val="00CE498D"/>
    <w:rsid w:val="00CE4B43"/>
    <w:rsid w:val="00CE5551"/>
    <w:rsid w:val="00CE555C"/>
    <w:rsid w:val="00CE5561"/>
    <w:rsid w:val="00CE56D8"/>
    <w:rsid w:val="00CE5761"/>
    <w:rsid w:val="00CE57D9"/>
    <w:rsid w:val="00CE62C3"/>
    <w:rsid w:val="00CE62EF"/>
    <w:rsid w:val="00CE6427"/>
    <w:rsid w:val="00CE6831"/>
    <w:rsid w:val="00CE69CF"/>
    <w:rsid w:val="00CE6F65"/>
    <w:rsid w:val="00CE6F73"/>
    <w:rsid w:val="00CE7226"/>
    <w:rsid w:val="00CE746F"/>
    <w:rsid w:val="00CE7474"/>
    <w:rsid w:val="00CE750F"/>
    <w:rsid w:val="00CE7A83"/>
    <w:rsid w:val="00CE7BEC"/>
    <w:rsid w:val="00CE7C1A"/>
    <w:rsid w:val="00CE7ED7"/>
    <w:rsid w:val="00CE7F71"/>
    <w:rsid w:val="00CF00E9"/>
    <w:rsid w:val="00CF0580"/>
    <w:rsid w:val="00CF0787"/>
    <w:rsid w:val="00CF0D2F"/>
    <w:rsid w:val="00CF151F"/>
    <w:rsid w:val="00CF1928"/>
    <w:rsid w:val="00CF1E21"/>
    <w:rsid w:val="00CF1EC6"/>
    <w:rsid w:val="00CF1F73"/>
    <w:rsid w:val="00CF22D1"/>
    <w:rsid w:val="00CF261F"/>
    <w:rsid w:val="00CF2AC7"/>
    <w:rsid w:val="00CF2FBB"/>
    <w:rsid w:val="00CF2FCE"/>
    <w:rsid w:val="00CF308E"/>
    <w:rsid w:val="00CF36B4"/>
    <w:rsid w:val="00CF384A"/>
    <w:rsid w:val="00CF38C1"/>
    <w:rsid w:val="00CF3B1D"/>
    <w:rsid w:val="00CF3D0E"/>
    <w:rsid w:val="00CF3DE5"/>
    <w:rsid w:val="00CF3E74"/>
    <w:rsid w:val="00CF44C3"/>
    <w:rsid w:val="00CF46D1"/>
    <w:rsid w:val="00CF473D"/>
    <w:rsid w:val="00CF4B32"/>
    <w:rsid w:val="00CF4DC6"/>
    <w:rsid w:val="00CF4E59"/>
    <w:rsid w:val="00CF536D"/>
    <w:rsid w:val="00CF54B1"/>
    <w:rsid w:val="00CF558A"/>
    <w:rsid w:val="00CF59C5"/>
    <w:rsid w:val="00CF6379"/>
    <w:rsid w:val="00CF655F"/>
    <w:rsid w:val="00CF679A"/>
    <w:rsid w:val="00CF6E01"/>
    <w:rsid w:val="00CF7005"/>
    <w:rsid w:val="00CF72ED"/>
    <w:rsid w:val="00CF74E2"/>
    <w:rsid w:val="00CF7968"/>
    <w:rsid w:val="00CF7DA6"/>
    <w:rsid w:val="00CF7FAA"/>
    <w:rsid w:val="00D000F6"/>
    <w:rsid w:val="00D004E1"/>
    <w:rsid w:val="00D00840"/>
    <w:rsid w:val="00D0089F"/>
    <w:rsid w:val="00D008F3"/>
    <w:rsid w:val="00D00A72"/>
    <w:rsid w:val="00D00C77"/>
    <w:rsid w:val="00D00D3C"/>
    <w:rsid w:val="00D01887"/>
    <w:rsid w:val="00D0193E"/>
    <w:rsid w:val="00D01E68"/>
    <w:rsid w:val="00D0200F"/>
    <w:rsid w:val="00D02048"/>
    <w:rsid w:val="00D02729"/>
    <w:rsid w:val="00D0288B"/>
    <w:rsid w:val="00D02B6F"/>
    <w:rsid w:val="00D02C06"/>
    <w:rsid w:val="00D02C16"/>
    <w:rsid w:val="00D02D29"/>
    <w:rsid w:val="00D02D89"/>
    <w:rsid w:val="00D02F3C"/>
    <w:rsid w:val="00D0338A"/>
    <w:rsid w:val="00D03825"/>
    <w:rsid w:val="00D039AE"/>
    <w:rsid w:val="00D03CC6"/>
    <w:rsid w:val="00D041EE"/>
    <w:rsid w:val="00D041F9"/>
    <w:rsid w:val="00D044BA"/>
    <w:rsid w:val="00D04638"/>
    <w:rsid w:val="00D04BD8"/>
    <w:rsid w:val="00D04D7B"/>
    <w:rsid w:val="00D053BA"/>
    <w:rsid w:val="00D05493"/>
    <w:rsid w:val="00D05541"/>
    <w:rsid w:val="00D05666"/>
    <w:rsid w:val="00D05B7C"/>
    <w:rsid w:val="00D067DA"/>
    <w:rsid w:val="00D06BE4"/>
    <w:rsid w:val="00D06E19"/>
    <w:rsid w:val="00D06E45"/>
    <w:rsid w:val="00D072CE"/>
    <w:rsid w:val="00D076D4"/>
    <w:rsid w:val="00D07A4A"/>
    <w:rsid w:val="00D07C63"/>
    <w:rsid w:val="00D10AC4"/>
    <w:rsid w:val="00D10C22"/>
    <w:rsid w:val="00D10E46"/>
    <w:rsid w:val="00D115F7"/>
    <w:rsid w:val="00D11954"/>
    <w:rsid w:val="00D11E67"/>
    <w:rsid w:val="00D121ED"/>
    <w:rsid w:val="00D12321"/>
    <w:rsid w:val="00D12592"/>
    <w:rsid w:val="00D12623"/>
    <w:rsid w:val="00D1298E"/>
    <w:rsid w:val="00D13483"/>
    <w:rsid w:val="00D13644"/>
    <w:rsid w:val="00D141DA"/>
    <w:rsid w:val="00D144AB"/>
    <w:rsid w:val="00D14682"/>
    <w:rsid w:val="00D14D55"/>
    <w:rsid w:val="00D15106"/>
    <w:rsid w:val="00D1515E"/>
    <w:rsid w:val="00D15423"/>
    <w:rsid w:val="00D15AEB"/>
    <w:rsid w:val="00D15B44"/>
    <w:rsid w:val="00D16250"/>
    <w:rsid w:val="00D16307"/>
    <w:rsid w:val="00D1648C"/>
    <w:rsid w:val="00D16A2B"/>
    <w:rsid w:val="00D16BCC"/>
    <w:rsid w:val="00D16D88"/>
    <w:rsid w:val="00D16EF3"/>
    <w:rsid w:val="00D17000"/>
    <w:rsid w:val="00D1721B"/>
    <w:rsid w:val="00D17659"/>
    <w:rsid w:val="00D20377"/>
    <w:rsid w:val="00D20427"/>
    <w:rsid w:val="00D2048A"/>
    <w:rsid w:val="00D20655"/>
    <w:rsid w:val="00D20787"/>
    <w:rsid w:val="00D20932"/>
    <w:rsid w:val="00D20943"/>
    <w:rsid w:val="00D20C2A"/>
    <w:rsid w:val="00D20C8B"/>
    <w:rsid w:val="00D20DA8"/>
    <w:rsid w:val="00D20FFB"/>
    <w:rsid w:val="00D2102E"/>
    <w:rsid w:val="00D21115"/>
    <w:rsid w:val="00D213C2"/>
    <w:rsid w:val="00D21881"/>
    <w:rsid w:val="00D22574"/>
    <w:rsid w:val="00D228B3"/>
    <w:rsid w:val="00D22B6C"/>
    <w:rsid w:val="00D22D15"/>
    <w:rsid w:val="00D22D1B"/>
    <w:rsid w:val="00D22F45"/>
    <w:rsid w:val="00D22FE6"/>
    <w:rsid w:val="00D230CC"/>
    <w:rsid w:val="00D230D0"/>
    <w:rsid w:val="00D235F9"/>
    <w:rsid w:val="00D2369A"/>
    <w:rsid w:val="00D23CB8"/>
    <w:rsid w:val="00D23D5C"/>
    <w:rsid w:val="00D23EF9"/>
    <w:rsid w:val="00D23F4C"/>
    <w:rsid w:val="00D23F7A"/>
    <w:rsid w:val="00D24010"/>
    <w:rsid w:val="00D2425B"/>
    <w:rsid w:val="00D245EE"/>
    <w:rsid w:val="00D2488A"/>
    <w:rsid w:val="00D24B7C"/>
    <w:rsid w:val="00D25132"/>
    <w:rsid w:val="00D2526E"/>
    <w:rsid w:val="00D25662"/>
    <w:rsid w:val="00D259EC"/>
    <w:rsid w:val="00D2602E"/>
    <w:rsid w:val="00D2626C"/>
    <w:rsid w:val="00D2628B"/>
    <w:rsid w:val="00D26767"/>
    <w:rsid w:val="00D267FE"/>
    <w:rsid w:val="00D26BE8"/>
    <w:rsid w:val="00D26E2C"/>
    <w:rsid w:val="00D27AED"/>
    <w:rsid w:val="00D27DAE"/>
    <w:rsid w:val="00D30197"/>
    <w:rsid w:val="00D304F5"/>
    <w:rsid w:val="00D30941"/>
    <w:rsid w:val="00D309D2"/>
    <w:rsid w:val="00D30AC1"/>
    <w:rsid w:val="00D30C13"/>
    <w:rsid w:val="00D30C5F"/>
    <w:rsid w:val="00D3102B"/>
    <w:rsid w:val="00D3148F"/>
    <w:rsid w:val="00D31642"/>
    <w:rsid w:val="00D31733"/>
    <w:rsid w:val="00D31780"/>
    <w:rsid w:val="00D31929"/>
    <w:rsid w:val="00D31E44"/>
    <w:rsid w:val="00D32645"/>
    <w:rsid w:val="00D32705"/>
    <w:rsid w:val="00D3273D"/>
    <w:rsid w:val="00D32831"/>
    <w:rsid w:val="00D32BD6"/>
    <w:rsid w:val="00D32CE2"/>
    <w:rsid w:val="00D33359"/>
    <w:rsid w:val="00D33672"/>
    <w:rsid w:val="00D3367E"/>
    <w:rsid w:val="00D3386F"/>
    <w:rsid w:val="00D33A5D"/>
    <w:rsid w:val="00D349B7"/>
    <w:rsid w:val="00D34BB6"/>
    <w:rsid w:val="00D35098"/>
    <w:rsid w:val="00D354A8"/>
    <w:rsid w:val="00D3551E"/>
    <w:rsid w:val="00D35FA5"/>
    <w:rsid w:val="00D36662"/>
    <w:rsid w:val="00D36920"/>
    <w:rsid w:val="00D36997"/>
    <w:rsid w:val="00D36B09"/>
    <w:rsid w:val="00D36F4D"/>
    <w:rsid w:val="00D370C2"/>
    <w:rsid w:val="00D37754"/>
    <w:rsid w:val="00D37E92"/>
    <w:rsid w:val="00D4037F"/>
    <w:rsid w:val="00D40583"/>
    <w:rsid w:val="00D40768"/>
    <w:rsid w:val="00D40791"/>
    <w:rsid w:val="00D40E16"/>
    <w:rsid w:val="00D40F4D"/>
    <w:rsid w:val="00D4131C"/>
    <w:rsid w:val="00D4134B"/>
    <w:rsid w:val="00D4157A"/>
    <w:rsid w:val="00D41AA0"/>
    <w:rsid w:val="00D41B4C"/>
    <w:rsid w:val="00D41D1E"/>
    <w:rsid w:val="00D41E88"/>
    <w:rsid w:val="00D42107"/>
    <w:rsid w:val="00D42415"/>
    <w:rsid w:val="00D432A9"/>
    <w:rsid w:val="00D432E8"/>
    <w:rsid w:val="00D437E6"/>
    <w:rsid w:val="00D438D0"/>
    <w:rsid w:val="00D439E6"/>
    <w:rsid w:val="00D43C04"/>
    <w:rsid w:val="00D43CCC"/>
    <w:rsid w:val="00D44A57"/>
    <w:rsid w:val="00D44A6F"/>
    <w:rsid w:val="00D44A89"/>
    <w:rsid w:val="00D44AAC"/>
    <w:rsid w:val="00D44F07"/>
    <w:rsid w:val="00D45096"/>
    <w:rsid w:val="00D450AE"/>
    <w:rsid w:val="00D45532"/>
    <w:rsid w:val="00D455E7"/>
    <w:rsid w:val="00D45CE8"/>
    <w:rsid w:val="00D45F0B"/>
    <w:rsid w:val="00D45F50"/>
    <w:rsid w:val="00D45F9F"/>
    <w:rsid w:val="00D4658D"/>
    <w:rsid w:val="00D46801"/>
    <w:rsid w:val="00D46A63"/>
    <w:rsid w:val="00D46E04"/>
    <w:rsid w:val="00D473A2"/>
    <w:rsid w:val="00D473EE"/>
    <w:rsid w:val="00D475AB"/>
    <w:rsid w:val="00D4793C"/>
    <w:rsid w:val="00D47F41"/>
    <w:rsid w:val="00D47F98"/>
    <w:rsid w:val="00D500A3"/>
    <w:rsid w:val="00D501AC"/>
    <w:rsid w:val="00D50237"/>
    <w:rsid w:val="00D5062A"/>
    <w:rsid w:val="00D508BF"/>
    <w:rsid w:val="00D51431"/>
    <w:rsid w:val="00D5143F"/>
    <w:rsid w:val="00D51550"/>
    <w:rsid w:val="00D51565"/>
    <w:rsid w:val="00D51E7D"/>
    <w:rsid w:val="00D5210E"/>
    <w:rsid w:val="00D522D2"/>
    <w:rsid w:val="00D524E2"/>
    <w:rsid w:val="00D52941"/>
    <w:rsid w:val="00D52E29"/>
    <w:rsid w:val="00D5350C"/>
    <w:rsid w:val="00D5350F"/>
    <w:rsid w:val="00D53612"/>
    <w:rsid w:val="00D53674"/>
    <w:rsid w:val="00D539C8"/>
    <w:rsid w:val="00D53A20"/>
    <w:rsid w:val="00D5412F"/>
    <w:rsid w:val="00D541CD"/>
    <w:rsid w:val="00D54826"/>
    <w:rsid w:val="00D54943"/>
    <w:rsid w:val="00D54A8C"/>
    <w:rsid w:val="00D54B65"/>
    <w:rsid w:val="00D54CEB"/>
    <w:rsid w:val="00D550FA"/>
    <w:rsid w:val="00D554FC"/>
    <w:rsid w:val="00D556FD"/>
    <w:rsid w:val="00D55978"/>
    <w:rsid w:val="00D559D3"/>
    <w:rsid w:val="00D55C37"/>
    <w:rsid w:val="00D55C8A"/>
    <w:rsid w:val="00D560E4"/>
    <w:rsid w:val="00D56BCC"/>
    <w:rsid w:val="00D57395"/>
    <w:rsid w:val="00D575A5"/>
    <w:rsid w:val="00D578B5"/>
    <w:rsid w:val="00D57D36"/>
    <w:rsid w:val="00D57F5E"/>
    <w:rsid w:val="00D57F70"/>
    <w:rsid w:val="00D60473"/>
    <w:rsid w:val="00D60A4A"/>
    <w:rsid w:val="00D6141A"/>
    <w:rsid w:val="00D6147D"/>
    <w:rsid w:val="00D619FF"/>
    <w:rsid w:val="00D61B37"/>
    <w:rsid w:val="00D61E69"/>
    <w:rsid w:val="00D61F3F"/>
    <w:rsid w:val="00D625DA"/>
    <w:rsid w:val="00D62789"/>
    <w:rsid w:val="00D6299B"/>
    <w:rsid w:val="00D62EE4"/>
    <w:rsid w:val="00D62F26"/>
    <w:rsid w:val="00D630E5"/>
    <w:rsid w:val="00D63621"/>
    <w:rsid w:val="00D636B4"/>
    <w:rsid w:val="00D6386E"/>
    <w:rsid w:val="00D63874"/>
    <w:rsid w:val="00D63A6C"/>
    <w:rsid w:val="00D63D28"/>
    <w:rsid w:val="00D63F2F"/>
    <w:rsid w:val="00D63F93"/>
    <w:rsid w:val="00D640D8"/>
    <w:rsid w:val="00D640DA"/>
    <w:rsid w:val="00D641FD"/>
    <w:rsid w:val="00D6435C"/>
    <w:rsid w:val="00D64554"/>
    <w:rsid w:val="00D649FF"/>
    <w:rsid w:val="00D64CF3"/>
    <w:rsid w:val="00D64E81"/>
    <w:rsid w:val="00D65081"/>
    <w:rsid w:val="00D658A2"/>
    <w:rsid w:val="00D65A12"/>
    <w:rsid w:val="00D65A22"/>
    <w:rsid w:val="00D65B0C"/>
    <w:rsid w:val="00D65B35"/>
    <w:rsid w:val="00D65F32"/>
    <w:rsid w:val="00D6605C"/>
    <w:rsid w:val="00D669A8"/>
    <w:rsid w:val="00D66AB5"/>
    <w:rsid w:val="00D66C3F"/>
    <w:rsid w:val="00D66CA4"/>
    <w:rsid w:val="00D6713F"/>
    <w:rsid w:val="00D67430"/>
    <w:rsid w:val="00D677EF"/>
    <w:rsid w:val="00D679FE"/>
    <w:rsid w:val="00D67A23"/>
    <w:rsid w:val="00D67BCF"/>
    <w:rsid w:val="00D67F59"/>
    <w:rsid w:val="00D70027"/>
    <w:rsid w:val="00D70448"/>
    <w:rsid w:val="00D70C38"/>
    <w:rsid w:val="00D70CEE"/>
    <w:rsid w:val="00D71069"/>
    <w:rsid w:val="00D7155A"/>
    <w:rsid w:val="00D717B9"/>
    <w:rsid w:val="00D71A69"/>
    <w:rsid w:val="00D71C9B"/>
    <w:rsid w:val="00D7200C"/>
    <w:rsid w:val="00D72179"/>
    <w:rsid w:val="00D72189"/>
    <w:rsid w:val="00D724B5"/>
    <w:rsid w:val="00D7276E"/>
    <w:rsid w:val="00D7291C"/>
    <w:rsid w:val="00D72FDF"/>
    <w:rsid w:val="00D73175"/>
    <w:rsid w:val="00D734D2"/>
    <w:rsid w:val="00D73681"/>
    <w:rsid w:val="00D7383D"/>
    <w:rsid w:val="00D73897"/>
    <w:rsid w:val="00D73933"/>
    <w:rsid w:val="00D73B8B"/>
    <w:rsid w:val="00D74AA5"/>
    <w:rsid w:val="00D74BC5"/>
    <w:rsid w:val="00D74CCE"/>
    <w:rsid w:val="00D75241"/>
    <w:rsid w:val="00D75579"/>
    <w:rsid w:val="00D7567E"/>
    <w:rsid w:val="00D757B5"/>
    <w:rsid w:val="00D759A2"/>
    <w:rsid w:val="00D75B51"/>
    <w:rsid w:val="00D75B53"/>
    <w:rsid w:val="00D75B79"/>
    <w:rsid w:val="00D76112"/>
    <w:rsid w:val="00D7631D"/>
    <w:rsid w:val="00D7656F"/>
    <w:rsid w:val="00D76681"/>
    <w:rsid w:val="00D76E5A"/>
    <w:rsid w:val="00D76E90"/>
    <w:rsid w:val="00D77278"/>
    <w:rsid w:val="00D776EE"/>
    <w:rsid w:val="00D777BE"/>
    <w:rsid w:val="00D7799B"/>
    <w:rsid w:val="00D77A4E"/>
    <w:rsid w:val="00D77EB5"/>
    <w:rsid w:val="00D77F04"/>
    <w:rsid w:val="00D80171"/>
    <w:rsid w:val="00D805A7"/>
    <w:rsid w:val="00D807FE"/>
    <w:rsid w:val="00D80B07"/>
    <w:rsid w:val="00D80B9A"/>
    <w:rsid w:val="00D8142C"/>
    <w:rsid w:val="00D814D2"/>
    <w:rsid w:val="00D816C6"/>
    <w:rsid w:val="00D81729"/>
    <w:rsid w:val="00D81972"/>
    <w:rsid w:val="00D81B34"/>
    <w:rsid w:val="00D81F55"/>
    <w:rsid w:val="00D8229C"/>
    <w:rsid w:val="00D829A6"/>
    <w:rsid w:val="00D82FBF"/>
    <w:rsid w:val="00D82FE0"/>
    <w:rsid w:val="00D8344C"/>
    <w:rsid w:val="00D83721"/>
    <w:rsid w:val="00D8382F"/>
    <w:rsid w:val="00D839F0"/>
    <w:rsid w:val="00D83ECE"/>
    <w:rsid w:val="00D84513"/>
    <w:rsid w:val="00D8457C"/>
    <w:rsid w:val="00D850F6"/>
    <w:rsid w:val="00D8530F"/>
    <w:rsid w:val="00D85323"/>
    <w:rsid w:val="00D85330"/>
    <w:rsid w:val="00D8551E"/>
    <w:rsid w:val="00D8574D"/>
    <w:rsid w:val="00D85AE5"/>
    <w:rsid w:val="00D86150"/>
    <w:rsid w:val="00D8655A"/>
    <w:rsid w:val="00D8683B"/>
    <w:rsid w:val="00D86AB7"/>
    <w:rsid w:val="00D86EFE"/>
    <w:rsid w:val="00D87029"/>
    <w:rsid w:val="00D8704E"/>
    <w:rsid w:val="00D8716A"/>
    <w:rsid w:val="00D871A8"/>
    <w:rsid w:val="00D8777E"/>
    <w:rsid w:val="00D900EB"/>
    <w:rsid w:val="00D9080D"/>
    <w:rsid w:val="00D90AEF"/>
    <w:rsid w:val="00D913AA"/>
    <w:rsid w:val="00D91580"/>
    <w:rsid w:val="00D9189F"/>
    <w:rsid w:val="00D91941"/>
    <w:rsid w:val="00D91D56"/>
    <w:rsid w:val="00D91D68"/>
    <w:rsid w:val="00D91E3E"/>
    <w:rsid w:val="00D920A6"/>
    <w:rsid w:val="00D925BE"/>
    <w:rsid w:val="00D9286B"/>
    <w:rsid w:val="00D929C8"/>
    <w:rsid w:val="00D92A0F"/>
    <w:rsid w:val="00D92DCB"/>
    <w:rsid w:val="00D93035"/>
    <w:rsid w:val="00D93142"/>
    <w:rsid w:val="00D937CF"/>
    <w:rsid w:val="00D93AF8"/>
    <w:rsid w:val="00D93BEC"/>
    <w:rsid w:val="00D93C24"/>
    <w:rsid w:val="00D940C3"/>
    <w:rsid w:val="00D94E5E"/>
    <w:rsid w:val="00D955EA"/>
    <w:rsid w:val="00D95923"/>
    <w:rsid w:val="00D959A6"/>
    <w:rsid w:val="00D95C05"/>
    <w:rsid w:val="00D95C66"/>
    <w:rsid w:val="00D95C7C"/>
    <w:rsid w:val="00D95E12"/>
    <w:rsid w:val="00D95EA5"/>
    <w:rsid w:val="00D9615A"/>
    <w:rsid w:val="00D96542"/>
    <w:rsid w:val="00D965CA"/>
    <w:rsid w:val="00D96611"/>
    <w:rsid w:val="00D96689"/>
    <w:rsid w:val="00D9694B"/>
    <w:rsid w:val="00D96E23"/>
    <w:rsid w:val="00D96E9D"/>
    <w:rsid w:val="00D97501"/>
    <w:rsid w:val="00D97516"/>
    <w:rsid w:val="00D976B1"/>
    <w:rsid w:val="00D977E2"/>
    <w:rsid w:val="00D97AA7"/>
    <w:rsid w:val="00D97D90"/>
    <w:rsid w:val="00D97DE1"/>
    <w:rsid w:val="00D97E2F"/>
    <w:rsid w:val="00DA0390"/>
    <w:rsid w:val="00DA11A1"/>
    <w:rsid w:val="00DA11E9"/>
    <w:rsid w:val="00DA13AA"/>
    <w:rsid w:val="00DA1601"/>
    <w:rsid w:val="00DA1675"/>
    <w:rsid w:val="00DA189A"/>
    <w:rsid w:val="00DA1B62"/>
    <w:rsid w:val="00DA1C34"/>
    <w:rsid w:val="00DA1DB3"/>
    <w:rsid w:val="00DA1E29"/>
    <w:rsid w:val="00DA1E41"/>
    <w:rsid w:val="00DA2016"/>
    <w:rsid w:val="00DA2579"/>
    <w:rsid w:val="00DA29D4"/>
    <w:rsid w:val="00DA2DD5"/>
    <w:rsid w:val="00DA2EF9"/>
    <w:rsid w:val="00DA315F"/>
    <w:rsid w:val="00DA3434"/>
    <w:rsid w:val="00DA382B"/>
    <w:rsid w:val="00DA3B40"/>
    <w:rsid w:val="00DA3B4E"/>
    <w:rsid w:val="00DA41D3"/>
    <w:rsid w:val="00DA439C"/>
    <w:rsid w:val="00DA43AE"/>
    <w:rsid w:val="00DA43CC"/>
    <w:rsid w:val="00DA463F"/>
    <w:rsid w:val="00DA4854"/>
    <w:rsid w:val="00DA4B7E"/>
    <w:rsid w:val="00DA4FBA"/>
    <w:rsid w:val="00DA5064"/>
    <w:rsid w:val="00DA53C0"/>
    <w:rsid w:val="00DA5C2D"/>
    <w:rsid w:val="00DA5CB2"/>
    <w:rsid w:val="00DA689F"/>
    <w:rsid w:val="00DA6B93"/>
    <w:rsid w:val="00DA6D0D"/>
    <w:rsid w:val="00DA710C"/>
    <w:rsid w:val="00DA71A8"/>
    <w:rsid w:val="00DA7417"/>
    <w:rsid w:val="00DA786B"/>
    <w:rsid w:val="00DA7885"/>
    <w:rsid w:val="00DA788E"/>
    <w:rsid w:val="00DA7B64"/>
    <w:rsid w:val="00DA7BD9"/>
    <w:rsid w:val="00DA7F46"/>
    <w:rsid w:val="00DB01CB"/>
    <w:rsid w:val="00DB0264"/>
    <w:rsid w:val="00DB02ED"/>
    <w:rsid w:val="00DB0571"/>
    <w:rsid w:val="00DB07E2"/>
    <w:rsid w:val="00DB0B76"/>
    <w:rsid w:val="00DB0BEC"/>
    <w:rsid w:val="00DB0F8D"/>
    <w:rsid w:val="00DB1142"/>
    <w:rsid w:val="00DB12DF"/>
    <w:rsid w:val="00DB1325"/>
    <w:rsid w:val="00DB139F"/>
    <w:rsid w:val="00DB169B"/>
    <w:rsid w:val="00DB17EF"/>
    <w:rsid w:val="00DB1A32"/>
    <w:rsid w:val="00DB1BD0"/>
    <w:rsid w:val="00DB1C15"/>
    <w:rsid w:val="00DB1D73"/>
    <w:rsid w:val="00DB1E27"/>
    <w:rsid w:val="00DB1F8D"/>
    <w:rsid w:val="00DB2034"/>
    <w:rsid w:val="00DB2138"/>
    <w:rsid w:val="00DB21BF"/>
    <w:rsid w:val="00DB21F2"/>
    <w:rsid w:val="00DB2332"/>
    <w:rsid w:val="00DB2510"/>
    <w:rsid w:val="00DB29E3"/>
    <w:rsid w:val="00DB2A34"/>
    <w:rsid w:val="00DB2A99"/>
    <w:rsid w:val="00DB3501"/>
    <w:rsid w:val="00DB366B"/>
    <w:rsid w:val="00DB369E"/>
    <w:rsid w:val="00DB37A6"/>
    <w:rsid w:val="00DB3996"/>
    <w:rsid w:val="00DB3BB4"/>
    <w:rsid w:val="00DB415E"/>
    <w:rsid w:val="00DB494B"/>
    <w:rsid w:val="00DB4BC4"/>
    <w:rsid w:val="00DB4C03"/>
    <w:rsid w:val="00DB4D2A"/>
    <w:rsid w:val="00DB4F14"/>
    <w:rsid w:val="00DB5078"/>
    <w:rsid w:val="00DB551E"/>
    <w:rsid w:val="00DB5ACC"/>
    <w:rsid w:val="00DB5F56"/>
    <w:rsid w:val="00DB5F93"/>
    <w:rsid w:val="00DB604F"/>
    <w:rsid w:val="00DB6BB6"/>
    <w:rsid w:val="00DB6DAA"/>
    <w:rsid w:val="00DB6E46"/>
    <w:rsid w:val="00DB77EE"/>
    <w:rsid w:val="00DB7C0A"/>
    <w:rsid w:val="00DB7D10"/>
    <w:rsid w:val="00DB7D7E"/>
    <w:rsid w:val="00DB7DF2"/>
    <w:rsid w:val="00DB7E40"/>
    <w:rsid w:val="00DB7F7E"/>
    <w:rsid w:val="00DC0BBC"/>
    <w:rsid w:val="00DC10EE"/>
    <w:rsid w:val="00DC12E3"/>
    <w:rsid w:val="00DC17DB"/>
    <w:rsid w:val="00DC186E"/>
    <w:rsid w:val="00DC197C"/>
    <w:rsid w:val="00DC2003"/>
    <w:rsid w:val="00DC236E"/>
    <w:rsid w:val="00DC23FF"/>
    <w:rsid w:val="00DC2695"/>
    <w:rsid w:val="00DC289D"/>
    <w:rsid w:val="00DC2F90"/>
    <w:rsid w:val="00DC37BD"/>
    <w:rsid w:val="00DC380F"/>
    <w:rsid w:val="00DC399F"/>
    <w:rsid w:val="00DC4216"/>
    <w:rsid w:val="00DC4239"/>
    <w:rsid w:val="00DC426A"/>
    <w:rsid w:val="00DC43A4"/>
    <w:rsid w:val="00DC44F5"/>
    <w:rsid w:val="00DC4564"/>
    <w:rsid w:val="00DC4B3B"/>
    <w:rsid w:val="00DC4C2E"/>
    <w:rsid w:val="00DC4E62"/>
    <w:rsid w:val="00DC5164"/>
    <w:rsid w:val="00DC522B"/>
    <w:rsid w:val="00DC5419"/>
    <w:rsid w:val="00DC5934"/>
    <w:rsid w:val="00DC59F1"/>
    <w:rsid w:val="00DC5FD4"/>
    <w:rsid w:val="00DC6158"/>
    <w:rsid w:val="00DC62FA"/>
    <w:rsid w:val="00DC637E"/>
    <w:rsid w:val="00DC63DA"/>
    <w:rsid w:val="00DC6406"/>
    <w:rsid w:val="00DC6752"/>
    <w:rsid w:val="00DC6BD2"/>
    <w:rsid w:val="00DC6D33"/>
    <w:rsid w:val="00DC6E6C"/>
    <w:rsid w:val="00DC6ED3"/>
    <w:rsid w:val="00DC730E"/>
    <w:rsid w:val="00DC764A"/>
    <w:rsid w:val="00DC7C80"/>
    <w:rsid w:val="00DC7D7E"/>
    <w:rsid w:val="00DD0687"/>
    <w:rsid w:val="00DD0A81"/>
    <w:rsid w:val="00DD13CB"/>
    <w:rsid w:val="00DD158D"/>
    <w:rsid w:val="00DD1ACF"/>
    <w:rsid w:val="00DD1C02"/>
    <w:rsid w:val="00DD215E"/>
    <w:rsid w:val="00DD240E"/>
    <w:rsid w:val="00DD24AE"/>
    <w:rsid w:val="00DD2718"/>
    <w:rsid w:val="00DD2750"/>
    <w:rsid w:val="00DD2E26"/>
    <w:rsid w:val="00DD3112"/>
    <w:rsid w:val="00DD3527"/>
    <w:rsid w:val="00DD3805"/>
    <w:rsid w:val="00DD3B1A"/>
    <w:rsid w:val="00DD3DFF"/>
    <w:rsid w:val="00DD4122"/>
    <w:rsid w:val="00DD413F"/>
    <w:rsid w:val="00DD4464"/>
    <w:rsid w:val="00DD45E4"/>
    <w:rsid w:val="00DD4630"/>
    <w:rsid w:val="00DD49FC"/>
    <w:rsid w:val="00DD4D0C"/>
    <w:rsid w:val="00DD4DBA"/>
    <w:rsid w:val="00DD539D"/>
    <w:rsid w:val="00DD56D7"/>
    <w:rsid w:val="00DD5744"/>
    <w:rsid w:val="00DD5912"/>
    <w:rsid w:val="00DD5CEE"/>
    <w:rsid w:val="00DD5ECE"/>
    <w:rsid w:val="00DD60CD"/>
    <w:rsid w:val="00DD60EF"/>
    <w:rsid w:val="00DD6470"/>
    <w:rsid w:val="00DD64FD"/>
    <w:rsid w:val="00DD75F3"/>
    <w:rsid w:val="00DD7729"/>
    <w:rsid w:val="00DE032B"/>
    <w:rsid w:val="00DE06E8"/>
    <w:rsid w:val="00DE0780"/>
    <w:rsid w:val="00DE0AEC"/>
    <w:rsid w:val="00DE0F76"/>
    <w:rsid w:val="00DE11C5"/>
    <w:rsid w:val="00DE13F9"/>
    <w:rsid w:val="00DE1824"/>
    <w:rsid w:val="00DE1CB7"/>
    <w:rsid w:val="00DE1D51"/>
    <w:rsid w:val="00DE2A1B"/>
    <w:rsid w:val="00DE2C0A"/>
    <w:rsid w:val="00DE32CE"/>
    <w:rsid w:val="00DE3384"/>
    <w:rsid w:val="00DE3611"/>
    <w:rsid w:val="00DE39D5"/>
    <w:rsid w:val="00DE3FAB"/>
    <w:rsid w:val="00DE428C"/>
    <w:rsid w:val="00DE4ACA"/>
    <w:rsid w:val="00DE4CA2"/>
    <w:rsid w:val="00DE503C"/>
    <w:rsid w:val="00DE51DA"/>
    <w:rsid w:val="00DE5555"/>
    <w:rsid w:val="00DE5565"/>
    <w:rsid w:val="00DE57DC"/>
    <w:rsid w:val="00DE580E"/>
    <w:rsid w:val="00DE598F"/>
    <w:rsid w:val="00DE5C77"/>
    <w:rsid w:val="00DE5F99"/>
    <w:rsid w:val="00DE6118"/>
    <w:rsid w:val="00DE65C4"/>
    <w:rsid w:val="00DE71F7"/>
    <w:rsid w:val="00DE72CB"/>
    <w:rsid w:val="00DE7795"/>
    <w:rsid w:val="00DE7BD0"/>
    <w:rsid w:val="00DE7C31"/>
    <w:rsid w:val="00DE7CEB"/>
    <w:rsid w:val="00DF01BB"/>
    <w:rsid w:val="00DF05A3"/>
    <w:rsid w:val="00DF0777"/>
    <w:rsid w:val="00DF0D2A"/>
    <w:rsid w:val="00DF0ED8"/>
    <w:rsid w:val="00DF113B"/>
    <w:rsid w:val="00DF12A3"/>
    <w:rsid w:val="00DF1397"/>
    <w:rsid w:val="00DF1728"/>
    <w:rsid w:val="00DF18C6"/>
    <w:rsid w:val="00DF197C"/>
    <w:rsid w:val="00DF19C6"/>
    <w:rsid w:val="00DF21D1"/>
    <w:rsid w:val="00DF2843"/>
    <w:rsid w:val="00DF2B9F"/>
    <w:rsid w:val="00DF308D"/>
    <w:rsid w:val="00DF31C2"/>
    <w:rsid w:val="00DF338E"/>
    <w:rsid w:val="00DF3553"/>
    <w:rsid w:val="00DF3872"/>
    <w:rsid w:val="00DF3A78"/>
    <w:rsid w:val="00DF3BBA"/>
    <w:rsid w:val="00DF419D"/>
    <w:rsid w:val="00DF42FE"/>
    <w:rsid w:val="00DF44AF"/>
    <w:rsid w:val="00DF4571"/>
    <w:rsid w:val="00DF49C6"/>
    <w:rsid w:val="00DF4FD0"/>
    <w:rsid w:val="00DF537A"/>
    <w:rsid w:val="00DF5ECD"/>
    <w:rsid w:val="00DF6401"/>
    <w:rsid w:val="00DF6477"/>
    <w:rsid w:val="00DF6651"/>
    <w:rsid w:val="00DF689F"/>
    <w:rsid w:val="00DF68CF"/>
    <w:rsid w:val="00DF68DE"/>
    <w:rsid w:val="00DF700D"/>
    <w:rsid w:val="00DF7123"/>
    <w:rsid w:val="00DF75C2"/>
    <w:rsid w:val="00DF774D"/>
    <w:rsid w:val="00DF7778"/>
    <w:rsid w:val="00DF7C77"/>
    <w:rsid w:val="00E00132"/>
    <w:rsid w:val="00E0033E"/>
    <w:rsid w:val="00E004B6"/>
    <w:rsid w:val="00E00802"/>
    <w:rsid w:val="00E00C98"/>
    <w:rsid w:val="00E00DA2"/>
    <w:rsid w:val="00E014D8"/>
    <w:rsid w:val="00E01AE7"/>
    <w:rsid w:val="00E01DE3"/>
    <w:rsid w:val="00E01EF3"/>
    <w:rsid w:val="00E02588"/>
    <w:rsid w:val="00E027A4"/>
    <w:rsid w:val="00E02874"/>
    <w:rsid w:val="00E02B07"/>
    <w:rsid w:val="00E02B79"/>
    <w:rsid w:val="00E02DB0"/>
    <w:rsid w:val="00E02EC8"/>
    <w:rsid w:val="00E03010"/>
    <w:rsid w:val="00E0347C"/>
    <w:rsid w:val="00E03555"/>
    <w:rsid w:val="00E03651"/>
    <w:rsid w:val="00E03748"/>
    <w:rsid w:val="00E0399B"/>
    <w:rsid w:val="00E03CE3"/>
    <w:rsid w:val="00E03D58"/>
    <w:rsid w:val="00E03F93"/>
    <w:rsid w:val="00E042A9"/>
    <w:rsid w:val="00E0493B"/>
    <w:rsid w:val="00E04A4A"/>
    <w:rsid w:val="00E04AF3"/>
    <w:rsid w:val="00E04D2B"/>
    <w:rsid w:val="00E0537D"/>
    <w:rsid w:val="00E0544A"/>
    <w:rsid w:val="00E05538"/>
    <w:rsid w:val="00E056E4"/>
    <w:rsid w:val="00E0578C"/>
    <w:rsid w:val="00E057FD"/>
    <w:rsid w:val="00E0597C"/>
    <w:rsid w:val="00E059E9"/>
    <w:rsid w:val="00E063DE"/>
    <w:rsid w:val="00E064E5"/>
    <w:rsid w:val="00E0681B"/>
    <w:rsid w:val="00E07187"/>
    <w:rsid w:val="00E07A53"/>
    <w:rsid w:val="00E07CB1"/>
    <w:rsid w:val="00E07E92"/>
    <w:rsid w:val="00E07F00"/>
    <w:rsid w:val="00E10179"/>
    <w:rsid w:val="00E10370"/>
    <w:rsid w:val="00E10506"/>
    <w:rsid w:val="00E106D0"/>
    <w:rsid w:val="00E108FF"/>
    <w:rsid w:val="00E10C28"/>
    <w:rsid w:val="00E10C97"/>
    <w:rsid w:val="00E111F0"/>
    <w:rsid w:val="00E11423"/>
    <w:rsid w:val="00E1156B"/>
    <w:rsid w:val="00E117E9"/>
    <w:rsid w:val="00E119B9"/>
    <w:rsid w:val="00E11B00"/>
    <w:rsid w:val="00E11FCF"/>
    <w:rsid w:val="00E12874"/>
    <w:rsid w:val="00E12CD7"/>
    <w:rsid w:val="00E13055"/>
    <w:rsid w:val="00E13235"/>
    <w:rsid w:val="00E13CC9"/>
    <w:rsid w:val="00E14433"/>
    <w:rsid w:val="00E147C8"/>
    <w:rsid w:val="00E14E64"/>
    <w:rsid w:val="00E14E7F"/>
    <w:rsid w:val="00E1509C"/>
    <w:rsid w:val="00E15264"/>
    <w:rsid w:val="00E15445"/>
    <w:rsid w:val="00E154FF"/>
    <w:rsid w:val="00E15542"/>
    <w:rsid w:val="00E15D46"/>
    <w:rsid w:val="00E162F2"/>
    <w:rsid w:val="00E16695"/>
    <w:rsid w:val="00E16E8D"/>
    <w:rsid w:val="00E16FE0"/>
    <w:rsid w:val="00E171A0"/>
    <w:rsid w:val="00E172A6"/>
    <w:rsid w:val="00E1799E"/>
    <w:rsid w:val="00E17D8C"/>
    <w:rsid w:val="00E20078"/>
    <w:rsid w:val="00E20525"/>
    <w:rsid w:val="00E2094B"/>
    <w:rsid w:val="00E2102B"/>
    <w:rsid w:val="00E211A6"/>
    <w:rsid w:val="00E21223"/>
    <w:rsid w:val="00E21595"/>
    <w:rsid w:val="00E21755"/>
    <w:rsid w:val="00E218D7"/>
    <w:rsid w:val="00E21CCD"/>
    <w:rsid w:val="00E21F00"/>
    <w:rsid w:val="00E2226E"/>
    <w:rsid w:val="00E225E7"/>
    <w:rsid w:val="00E22F9C"/>
    <w:rsid w:val="00E23051"/>
    <w:rsid w:val="00E2308B"/>
    <w:rsid w:val="00E23B11"/>
    <w:rsid w:val="00E23F8E"/>
    <w:rsid w:val="00E23FE9"/>
    <w:rsid w:val="00E244FB"/>
    <w:rsid w:val="00E24C5F"/>
    <w:rsid w:val="00E24C79"/>
    <w:rsid w:val="00E24F23"/>
    <w:rsid w:val="00E2552C"/>
    <w:rsid w:val="00E25DBB"/>
    <w:rsid w:val="00E25DE8"/>
    <w:rsid w:val="00E25DF0"/>
    <w:rsid w:val="00E25E9D"/>
    <w:rsid w:val="00E268E8"/>
    <w:rsid w:val="00E26975"/>
    <w:rsid w:val="00E26BCA"/>
    <w:rsid w:val="00E26DE7"/>
    <w:rsid w:val="00E277B5"/>
    <w:rsid w:val="00E27834"/>
    <w:rsid w:val="00E279B0"/>
    <w:rsid w:val="00E27B3C"/>
    <w:rsid w:val="00E27F24"/>
    <w:rsid w:val="00E30089"/>
    <w:rsid w:val="00E301E8"/>
    <w:rsid w:val="00E306C5"/>
    <w:rsid w:val="00E308D1"/>
    <w:rsid w:val="00E30A0C"/>
    <w:rsid w:val="00E30C3E"/>
    <w:rsid w:val="00E30C5D"/>
    <w:rsid w:val="00E30F63"/>
    <w:rsid w:val="00E31E69"/>
    <w:rsid w:val="00E31EAA"/>
    <w:rsid w:val="00E31FD9"/>
    <w:rsid w:val="00E3226A"/>
    <w:rsid w:val="00E32325"/>
    <w:rsid w:val="00E32613"/>
    <w:rsid w:val="00E32CF6"/>
    <w:rsid w:val="00E32F6A"/>
    <w:rsid w:val="00E3377F"/>
    <w:rsid w:val="00E33C42"/>
    <w:rsid w:val="00E33DFD"/>
    <w:rsid w:val="00E34A98"/>
    <w:rsid w:val="00E34D46"/>
    <w:rsid w:val="00E34E6A"/>
    <w:rsid w:val="00E34F3F"/>
    <w:rsid w:val="00E34FAF"/>
    <w:rsid w:val="00E351F8"/>
    <w:rsid w:val="00E35330"/>
    <w:rsid w:val="00E354C2"/>
    <w:rsid w:val="00E35EB9"/>
    <w:rsid w:val="00E36189"/>
    <w:rsid w:val="00E3630E"/>
    <w:rsid w:val="00E363C5"/>
    <w:rsid w:val="00E3686B"/>
    <w:rsid w:val="00E36A79"/>
    <w:rsid w:val="00E36D18"/>
    <w:rsid w:val="00E36E3E"/>
    <w:rsid w:val="00E372BC"/>
    <w:rsid w:val="00E37692"/>
    <w:rsid w:val="00E379A8"/>
    <w:rsid w:val="00E379F3"/>
    <w:rsid w:val="00E37BBE"/>
    <w:rsid w:val="00E37C97"/>
    <w:rsid w:val="00E40472"/>
    <w:rsid w:val="00E404E2"/>
    <w:rsid w:val="00E40710"/>
    <w:rsid w:val="00E40B0C"/>
    <w:rsid w:val="00E40B84"/>
    <w:rsid w:val="00E40E3F"/>
    <w:rsid w:val="00E40F0C"/>
    <w:rsid w:val="00E41122"/>
    <w:rsid w:val="00E41389"/>
    <w:rsid w:val="00E4167E"/>
    <w:rsid w:val="00E4188E"/>
    <w:rsid w:val="00E41899"/>
    <w:rsid w:val="00E41A00"/>
    <w:rsid w:val="00E41DFB"/>
    <w:rsid w:val="00E41F2B"/>
    <w:rsid w:val="00E42263"/>
    <w:rsid w:val="00E4245C"/>
    <w:rsid w:val="00E42D65"/>
    <w:rsid w:val="00E42E95"/>
    <w:rsid w:val="00E42FD8"/>
    <w:rsid w:val="00E43106"/>
    <w:rsid w:val="00E4323E"/>
    <w:rsid w:val="00E439A7"/>
    <w:rsid w:val="00E43A6B"/>
    <w:rsid w:val="00E4403B"/>
    <w:rsid w:val="00E442AC"/>
    <w:rsid w:val="00E4458E"/>
    <w:rsid w:val="00E44854"/>
    <w:rsid w:val="00E448F3"/>
    <w:rsid w:val="00E449BD"/>
    <w:rsid w:val="00E44B70"/>
    <w:rsid w:val="00E44C3F"/>
    <w:rsid w:val="00E44E3A"/>
    <w:rsid w:val="00E45152"/>
    <w:rsid w:val="00E4544D"/>
    <w:rsid w:val="00E45717"/>
    <w:rsid w:val="00E45829"/>
    <w:rsid w:val="00E46401"/>
    <w:rsid w:val="00E46740"/>
    <w:rsid w:val="00E46C99"/>
    <w:rsid w:val="00E46DFE"/>
    <w:rsid w:val="00E46FBF"/>
    <w:rsid w:val="00E470C3"/>
    <w:rsid w:val="00E47294"/>
    <w:rsid w:val="00E475F7"/>
    <w:rsid w:val="00E476CD"/>
    <w:rsid w:val="00E47762"/>
    <w:rsid w:val="00E47B1A"/>
    <w:rsid w:val="00E47E28"/>
    <w:rsid w:val="00E500ED"/>
    <w:rsid w:val="00E502E5"/>
    <w:rsid w:val="00E503E4"/>
    <w:rsid w:val="00E50493"/>
    <w:rsid w:val="00E506A4"/>
    <w:rsid w:val="00E50879"/>
    <w:rsid w:val="00E50E7F"/>
    <w:rsid w:val="00E511A0"/>
    <w:rsid w:val="00E513AF"/>
    <w:rsid w:val="00E51BC1"/>
    <w:rsid w:val="00E51CF6"/>
    <w:rsid w:val="00E51D7F"/>
    <w:rsid w:val="00E51FA1"/>
    <w:rsid w:val="00E523EE"/>
    <w:rsid w:val="00E53243"/>
    <w:rsid w:val="00E53629"/>
    <w:rsid w:val="00E53859"/>
    <w:rsid w:val="00E53E82"/>
    <w:rsid w:val="00E5441A"/>
    <w:rsid w:val="00E546C8"/>
    <w:rsid w:val="00E5487A"/>
    <w:rsid w:val="00E548BB"/>
    <w:rsid w:val="00E5496C"/>
    <w:rsid w:val="00E54EAD"/>
    <w:rsid w:val="00E54EFC"/>
    <w:rsid w:val="00E55291"/>
    <w:rsid w:val="00E5532A"/>
    <w:rsid w:val="00E553A6"/>
    <w:rsid w:val="00E557EE"/>
    <w:rsid w:val="00E55858"/>
    <w:rsid w:val="00E55949"/>
    <w:rsid w:val="00E5598C"/>
    <w:rsid w:val="00E559F2"/>
    <w:rsid w:val="00E55DEA"/>
    <w:rsid w:val="00E55EAF"/>
    <w:rsid w:val="00E564C5"/>
    <w:rsid w:val="00E56723"/>
    <w:rsid w:val="00E56ABC"/>
    <w:rsid w:val="00E56B6A"/>
    <w:rsid w:val="00E56F62"/>
    <w:rsid w:val="00E5765D"/>
    <w:rsid w:val="00E576FA"/>
    <w:rsid w:val="00E57923"/>
    <w:rsid w:val="00E57D75"/>
    <w:rsid w:val="00E60168"/>
    <w:rsid w:val="00E6024B"/>
    <w:rsid w:val="00E6025B"/>
    <w:rsid w:val="00E60371"/>
    <w:rsid w:val="00E603D8"/>
    <w:rsid w:val="00E607FA"/>
    <w:rsid w:val="00E6105A"/>
    <w:rsid w:val="00E611E0"/>
    <w:rsid w:val="00E61458"/>
    <w:rsid w:val="00E61619"/>
    <w:rsid w:val="00E61720"/>
    <w:rsid w:val="00E62918"/>
    <w:rsid w:val="00E629D4"/>
    <w:rsid w:val="00E62DFC"/>
    <w:rsid w:val="00E62E22"/>
    <w:rsid w:val="00E62E4D"/>
    <w:rsid w:val="00E62FE0"/>
    <w:rsid w:val="00E6300E"/>
    <w:rsid w:val="00E63748"/>
    <w:rsid w:val="00E63C93"/>
    <w:rsid w:val="00E63FB6"/>
    <w:rsid w:val="00E64011"/>
    <w:rsid w:val="00E640E7"/>
    <w:rsid w:val="00E6482B"/>
    <w:rsid w:val="00E64A5B"/>
    <w:rsid w:val="00E64C7C"/>
    <w:rsid w:val="00E64D10"/>
    <w:rsid w:val="00E64D18"/>
    <w:rsid w:val="00E64FE2"/>
    <w:rsid w:val="00E651EF"/>
    <w:rsid w:val="00E6543C"/>
    <w:rsid w:val="00E65503"/>
    <w:rsid w:val="00E658C4"/>
    <w:rsid w:val="00E65980"/>
    <w:rsid w:val="00E65E74"/>
    <w:rsid w:val="00E661BF"/>
    <w:rsid w:val="00E6627C"/>
    <w:rsid w:val="00E664B8"/>
    <w:rsid w:val="00E66C4D"/>
    <w:rsid w:val="00E66E27"/>
    <w:rsid w:val="00E6730A"/>
    <w:rsid w:val="00E67432"/>
    <w:rsid w:val="00E67704"/>
    <w:rsid w:val="00E6793B"/>
    <w:rsid w:val="00E67B01"/>
    <w:rsid w:val="00E67BCA"/>
    <w:rsid w:val="00E7059A"/>
    <w:rsid w:val="00E70945"/>
    <w:rsid w:val="00E709FA"/>
    <w:rsid w:val="00E70EBD"/>
    <w:rsid w:val="00E70ECF"/>
    <w:rsid w:val="00E70F68"/>
    <w:rsid w:val="00E71665"/>
    <w:rsid w:val="00E71BCE"/>
    <w:rsid w:val="00E71D3F"/>
    <w:rsid w:val="00E71F08"/>
    <w:rsid w:val="00E7228B"/>
    <w:rsid w:val="00E72369"/>
    <w:rsid w:val="00E726EE"/>
    <w:rsid w:val="00E726FB"/>
    <w:rsid w:val="00E73451"/>
    <w:rsid w:val="00E736B4"/>
    <w:rsid w:val="00E736DA"/>
    <w:rsid w:val="00E73843"/>
    <w:rsid w:val="00E745B5"/>
    <w:rsid w:val="00E7488C"/>
    <w:rsid w:val="00E748A4"/>
    <w:rsid w:val="00E74F35"/>
    <w:rsid w:val="00E750D7"/>
    <w:rsid w:val="00E75398"/>
    <w:rsid w:val="00E7545C"/>
    <w:rsid w:val="00E75C40"/>
    <w:rsid w:val="00E75E7B"/>
    <w:rsid w:val="00E75E7C"/>
    <w:rsid w:val="00E76213"/>
    <w:rsid w:val="00E7634C"/>
    <w:rsid w:val="00E76B20"/>
    <w:rsid w:val="00E76B26"/>
    <w:rsid w:val="00E770AF"/>
    <w:rsid w:val="00E776B9"/>
    <w:rsid w:val="00E80651"/>
    <w:rsid w:val="00E807E6"/>
    <w:rsid w:val="00E80C65"/>
    <w:rsid w:val="00E81014"/>
    <w:rsid w:val="00E8111A"/>
    <w:rsid w:val="00E812D7"/>
    <w:rsid w:val="00E81773"/>
    <w:rsid w:val="00E81AB5"/>
    <w:rsid w:val="00E81B59"/>
    <w:rsid w:val="00E81D82"/>
    <w:rsid w:val="00E81E7F"/>
    <w:rsid w:val="00E821C7"/>
    <w:rsid w:val="00E82324"/>
    <w:rsid w:val="00E824E0"/>
    <w:rsid w:val="00E82612"/>
    <w:rsid w:val="00E82988"/>
    <w:rsid w:val="00E82A05"/>
    <w:rsid w:val="00E832CE"/>
    <w:rsid w:val="00E8368A"/>
    <w:rsid w:val="00E83756"/>
    <w:rsid w:val="00E83D6C"/>
    <w:rsid w:val="00E8431C"/>
    <w:rsid w:val="00E845D2"/>
    <w:rsid w:val="00E84C24"/>
    <w:rsid w:val="00E84CFB"/>
    <w:rsid w:val="00E85040"/>
    <w:rsid w:val="00E85213"/>
    <w:rsid w:val="00E8522D"/>
    <w:rsid w:val="00E856A1"/>
    <w:rsid w:val="00E85700"/>
    <w:rsid w:val="00E858C5"/>
    <w:rsid w:val="00E85C54"/>
    <w:rsid w:val="00E85DBB"/>
    <w:rsid w:val="00E85E6D"/>
    <w:rsid w:val="00E8631C"/>
    <w:rsid w:val="00E86482"/>
    <w:rsid w:val="00E86950"/>
    <w:rsid w:val="00E8695F"/>
    <w:rsid w:val="00E86DB0"/>
    <w:rsid w:val="00E8742F"/>
    <w:rsid w:val="00E874F9"/>
    <w:rsid w:val="00E87526"/>
    <w:rsid w:val="00E87697"/>
    <w:rsid w:val="00E876B2"/>
    <w:rsid w:val="00E87DAE"/>
    <w:rsid w:val="00E87DDE"/>
    <w:rsid w:val="00E87F89"/>
    <w:rsid w:val="00E90214"/>
    <w:rsid w:val="00E906EC"/>
    <w:rsid w:val="00E907D4"/>
    <w:rsid w:val="00E9097C"/>
    <w:rsid w:val="00E909B7"/>
    <w:rsid w:val="00E90A8B"/>
    <w:rsid w:val="00E90AB9"/>
    <w:rsid w:val="00E911DF"/>
    <w:rsid w:val="00E911F5"/>
    <w:rsid w:val="00E916B2"/>
    <w:rsid w:val="00E91854"/>
    <w:rsid w:val="00E91889"/>
    <w:rsid w:val="00E91E09"/>
    <w:rsid w:val="00E9206A"/>
    <w:rsid w:val="00E9209F"/>
    <w:rsid w:val="00E92288"/>
    <w:rsid w:val="00E925A2"/>
    <w:rsid w:val="00E9260C"/>
    <w:rsid w:val="00E92AEE"/>
    <w:rsid w:val="00E92CE0"/>
    <w:rsid w:val="00E92DD3"/>
    <w:rsid w:val="00E92F7F"/>
    <w:rsid w:val="00E931B1"/>
    <w:rsid w:val="00E93521"/>
    <w:rsid w:val="00E93AC8"/>
    <w:rsid w:val="00E93B50"/>
    <w:rsid w:val="00E93EC8"/>
    <w:rsid w:val="00E944ED"/>
    <w:rsid w:val="00E94697"/>
    <w:rsid w:val="00E948FB"/>
    <w:rsid w:val="00E949C5"/>
    <w:rsid w:val="00E94E78"/>
    <w:rsid w:val="00E954CB"/>
    <w:rsid w:val="00E95B6D"/>
    <w:rsid w:val="00E95D9B"/>
    <w:rsid w:val="00E95DD5"/>
    <w:rsid w:val="00E95E0A"/>
    <w:rsid w:val="00E960FF"/>
    <w:rsid w:val="00E96268"/>
    <w:rsid w:val="00E96301"/>
    <w:rsid w:val="00E96408"/>
    <w:rsid w:val="00E96626"/>
    <w:rsid w:val="00E96C7A"/>
    <w:rsid w:val="00E96CAC"/>
    <w:rsid w:val="00E96D67"/>
    <w:rsid w:val="00E96DDD"/>
    <w:rsid w:val="00E97C0E"/>
    <w:rsid w:val="00E97CB8"/>
    <w:rsid w:val="00E97F19"/>
    <w:rsid w:val="00EA01B9"/>
    <w:rsid w:val="00EA01D0"/>
    <w:rsid w:val="00EA0D2F"/>
    <w:rsid w:val="00EA0E25"/>
    <w:rsid w:val="00EA1097"/>
    <w:rsid w:val="00EA1426"/>
    <w:rsid w:val="00EA14DE"/>
    <w:rsid w:val="00EA1605"/>
    <w:rsid w:val="00EA18AE"/>
    <w:rsid w:val="00EA1967"/>
    <w:rsid w:val="00EA1AC6"/>
    <w:rsid w:val="00EA1B74"/>
    <w:rsid w:val="00EA1CD0"/>
    <w:rsid w:val="00EA1DDB"/>
    <w:rsid w:val="00EA2009"/>
    <w:rsid w:val="00EA2368"/>
    <w:rsid w:val="00EA2580"/>
    <w:rsid w:val="00EA26BE"/>
    <w:rsid w:val="00EA2ADB"/>
    <w:rsid w:val="00EA2D5D"/>
    <w:rsid w:val="00EA33D0"/>
    <w:rsid w:val="00EA3478"/>
    <w:rsid w:val="00EA35C7"/>
    <w:rsid w:val="00EA4991"/>
    <w:rsid w:val="00EA511B"/>
    <w:rsid w:val="00EA52FD"/>
    <w:rsid w:val="00EA53A6"/>
    <w:rsid w:val="00EA5415"/>
    <w:rsid w:val="00EA552C"/>
    <w:rsid w:val="00EA5C56"/>
    <w:rsid w:val="00EA5FC2"/>
    <w:rsid w:val="00EA6693"/>
    <w:rsid w:val="00EA6BB4"/>
    <w:rsid w:val="00EA6C57"/>
    <w:rsid w:val="00EA6CB0"/>
    <w:rsid w:val="00EA6DEC"/>
    <w:rsid w:val="00EA71B0"/>
    <w:rsid w:val="00EA76B5"/>
    <w:rsid w:val="00EA7CD3"/>
    <w:rsid w:val="00EA7CD8"/>
    <w:rsid w:val="00EA7E95"/>
    <w:rsid w:val="00EA7F66"/>
    <w:rsid w:val="00EB013C"/>
    <w:rsid w:val="00EB01ED"/>
    <w:rsid w:val="00EB0282"/>
    <w:rsid w:val="00EB03FC"/>
    <w:rsid w:val="00EB047C"/>
    <w:rsid w:val="00EB073F"/>
    <w:rsid w:val="00EB0A5A"/>
    <w:rsid w:val="00EB0A9B"/>
    <w:rsid w:val="00EB0B56"/>
    <w:rsid w:val="00EB13BC"/>
    <w:rsid w:val="00EB13E6"/>
    <w:rsid w:val="00EB1953"/>
    <w:rsid w:val="00EB1B19"/>
    <w:rsid w:val="00EB1B41"/>
    <w:rsid w:val="00EB1B88"/>
    <w:rsid w:val="00EB1D29"/>
    <w:rsid w:val="00EB1E83"/>
    <w:rsid w:val="00EB20F1"/>
    <w:rsid w:val="00EB242B"/>
    <w:rsid w:val="00EB264A"/>
    <w:rsid w:val="00EB2652"/>
    <w:rsid w:val="00EB2996"/>
    <w:rsid w:val="00EB2C6D"/>
    <w:rsid w:val="00EB3306"/>
    <w:rsid w:val="00EB3577"/>
    <w:rsid w:val="00EB4739"/>
    <w:rsid w:val="00EB4809"/>
    <w:rsid w:val="00EB4EE3"/>
    <w:rsid w:val="00EB4F80"/>
    <w:rsid w:val="00EB4FDA"/>
    <w:rsid w:val="00EB506C"/>
    <w:rsid w:val="00EB5315"/>
    <w:rsid w:val="00EB5D30"/>
    <w:rsid w:val="00EB5F64"/>
    <w:rsid w:val="00EB6233"/>
    <w:rsid w:val="00EB624A"/>
    <w:rsid w:val="00EB69EB"/>
    <w:rsid w:val="00EB6E53"/>
    <w:rsid w:val="00EB7052"/>
    <w:rsid w:val="00EB776C"/>
    <w:rsid w:val="00EB79D2"/>
    <w:rsid w:val="00EB7AC5"/>
    <w:rsid w:val="00EC034B"/>
    <w:rsid w:val="00EC0608"/>
    <w:rsid w:val="00EC0B65"/>
    <w:rsid w:val="00EC1283"/>
    <w:rsid w:val="00EC14B6"/>
    <w:rsid w:val="00EC165C"/>
    <w:rsid w:val="00EC1AF4"/>
    <w:rsid w:val="00EC1F6E"/>
    <w:rsid w:val="00EC22CC"/>
    <w:rsid w:val="00EC25C3"/>
    <w:rsid w:val="00EC25EC"/>
    <w:rsid w:val="00EC2AE5"/>
    <w:rsid w:val="00EC2FE1"/>
    <w:rsid w:val="00EC31A0"/>
    <w:rsid w:val="00EC3635"/>
    <w:rsid w:val="00EC38FF"/>
    <w:rsid w:val="00EC3E0C"/>
    <w:rsid w:val="00EC3EB9"/>
    <w:rsid w:val="00EC41FC"/>
    <w:rsid w:val="00EC426D"/>
    <w:rsid w:val="00EC46D1"/>
    <w:rsid w:val="00EC4B11"/>
    <w:rsid w:val="00EC4C58"/>
    <w:rsid w:val="00EC51E6"/>
    <w:rsid w:val="00EC55EC"/>
    <w:rsid w:val="00EC569C"/>
    <w:rsid w:val="00EC592C"/>
    <w:rsid w:val="00EC5A96"/>
    <w:rsid w:val="00EC5C3F"/>
    <w:rsid w:val="00EC5C7A"/>
    <w:rsid w:val="00EC6155"/>
    <w:rsid w:val="00EC61FD"/>
    <w:rsid w:val="00EC64CA"/>
    <w:rsid w:val="00EC68C8"/>
    <w:rsid w:val="00EC6CF5"/>
    <w:rsid w:val="00EC71B9"/>
    <w:rsid w:val="00EC7821"/>
    <w:rsid w:val="00EC7EC8"/>
    <w:rsid w:val="00ED0230"/>
    <w:rsid w:val="00ED032D"/>
    <w:rsid w:val="00ED03A7"/>
    <w:rsid w:val="00ED08C2"/>
    <w:rsid w:val="00ED0956"/>
    <w:rsid w:val="00ED0A1E"/>
    <w:rsid w:val="00ED0B23"/>
    <w:rsid w:val="00ED0C66"/>
    <w:rsid w:val="00ED0C88"/>
    <w:rsid w:val="00ED0E34"/>
    <w:rsid w:val="00ED0E43"/>
    <w:rsid w:val="00ED1540"/>
    <w:rsid w:val="00ED1AC3"/>
    <w:rsid w:val="00ED20F5"/>
    <w:rsid w:val="00ED218B"/>
    <w:rsid w:val="00ED2324"/>
    <w:rsid w:val="00ED2A59"/>
    <w:rsid w:val="00ED2F6D"/>
    <w:rsid w:val="00ED3153"/>
    <w:rsid w:val="00ED36D2"/>
    <w:rsid w:val="00ED3CDE"/>
    <w:rsid w:val="00ED40D0"/>
    <w:rsid w:val="00ED465E"/>
    <w:rsid w:val="00ED4ABD"/>
    <w:rsid w:val="00ED4C7E"/>
    <w:rsid w:val="00ED5493"/>
    <w:rsid w:val="00ED54C7"/>
    <w:rsid w:val="00ED58CD"/>
    <w:rsid w:val="00ED5BBD"/>
    <w:rsid w:val="00ED61D0"/>
    <w:rsid w:val="00ED61DA"/>
    <w:rsid w:val="00ED663F"/>
    <w:rsid w:val="00ED666C"/>
    <w:rsid w:val="00ED67D4"/>
    <w:rsid w:val="00ED6B8D"/>
    <w:rsid w:val="00ED6D4D"/>
    <w:rsid w:val="00ED785D"/>
    <w:rsid w:val="00ED78A5"/>
    <w:rsid w:val="00ED7A23"/>
    <w:rsid w:val="00ED7AC6"/>
    <w:rsid w:val="00ED7C39"/>
    <w:rsid w:val="00ED7E14"/>
    <w:rsid w:val="00EE0477"/>
    <w:rsid w:val="00EE0486"/>
    <w:rsid w:val="00EE0506"/>
    <w:rsid w:val="00EE05ED"/>
    <w:rsid w:val="00EE0BF2"/>
    <w:rsid w:val="00EE0E5E"/>
    <w:rsid w:val="00EE0F0D"/>
    <w:rsid w:val="00EE14D5"/>
    <w:rsid w:val="00EE153F"/>
    <w:rsid w:val="00EE164C"/>
    <w:rsid w:val="00EE1CF8"/>
    <w:rsid w:val="00EE2150"/>
    <w:rsid w:val="00EE2AAB"/>
    <w:rsid w:val="00EE2BA6"/>
    <w:rsid w:val="00EE2EE8"/>
    <w:rsid w:val="00EE30FB"/>
    <w:rsid w:val="00EE3395"/>
    <w:rsid w:val="00EE3453"/>
    <w:rsid w:val="00EE3AF0"/>
    <w:rsid w:val="00EE3C42"/>
    <w:rsid w:val="00EE3CD6"/>
    <w:rsid w:val="00EE3ED9"/>
    <w:rsid w:val="00EE3EF4"/>
    <w:rsid w:val="00EE3F48"/>
    <w:rsid w:val="00EE41CA"/>
    <w:rsid w:val="00EE44D7"/>
    <w:rsid w:val="00EE44E5"/>
    <w:rsid w:val="00EE45C1"/>
    <w:rsid w:val="00EE4A5E"/>
    <w:rsid w:val="00EE4B52"/>
    <w:rsid w:val="00EE524B"/>
    <w:rsid w:val="00EE5400"/>
    <w:rsid w:val="00EE553E"/>
    <w:rsid w:val="00EE56A0"/>
    <w:rsid w:val="00EE5721"/>
    <w:rsid w:val="00EE5A72"/>
    <w:rsid w:val="00EE5C76"/>
    <w:rsid w:val="00EE5DC6"/>
    <w:rsid w:val="00EE5E31"/>
    <w:rsid w:val="00EE5F74"/>
    <w:rsid w:val="00EE6341"/>
    <w:rsid w:val="00EE64FE"/>
    <w:rsid w:val="00EE66D7"/>
    <w:rsid w:val="00EE6856"/>
    <w:rsid w:val="00EE6B6D"/>
    <w:rsid w:val="00EE6D90"/>
    <w:rsid w:val="00EE71CD"/>
    <w:rsid w:val="00EE71FB"/>
    <w:rsid w:val="00EE7845"/>
    <w:rsid w:val="00EE7885"/>
    <w:rsid w:val="00EE7A65"/>
    <w:rsid w:val="00EE7B6F"/>
    <w:rsid w:val="00EE7F1B"/>
    <w:rsid w:val="00EF0334"/>
    <w:rsid w:val="00EF0337"/>
    <w:rsid w:val="00EF0C45"/>
    <w:rsid w:val="00EF1036"/>
    <w:rsid w:val="00EF10DE"/>
    <w:rsid w:val="00EF1378"/>
    <w:rsid w:val="00EF1AC8"/>
    <w:rsid w:val="00EF1F22"/>
    <w:rsid w:val="00EF27B1"/>
    <w:rsid w:val="00EF34D9"/>
    <w:rsid w:val="00EF351E"/>
    <w:rsid w:val="00EF365C"/>
    <w:rsid w:val="00EF3782"/>
    <w:rsid w:val="00EF3C32"/>
    <w:rsid w:val="00EF42E6"/>
    <w:rsid w:val="00EF45B8"/>
    <w:rsid w:val="00EF464D"/>
    <w:rsid w:val="00EF465A"/>
    <w:rsid w:val="00EF472E"/>
    <w:rsid w:val="00EF47A7"/>
    <w:rsid w:val="00EF4843"/>
    <w:rsid w:val="00EF4D16"/>
    <w:rsid w:val="00EF512F"/>
    <w:rsid w:val="00EF52F1"/>
    <w:rsid w:val="00EF535F"/>
    <w:rsid w:val="00EF53E8"/>
    <w:rsid w:val="00EF5A86"/>
    <w:rsid w:val="00EF5ABA"/>
    <w:rsid w:val="00EF5BC7"/>
    <w:rsid w:val="00EF5CA9"/>
    <w:rsid w:val="00EF5F18"/>
    <w:rsid w:val="00EF605D"/>
    <w:rsid w:val="00EF6274"/>
    <w:rsid w:val="00EF6303"/>
    <w:rsid w:val="00EF6666"/>
    <w:rsid w:val="00EF676A"/>
    <w:rsid w:val="00EF6D5B"/>
    <w:rsid w:val="00EF72B9"/>
    <w:rsid w:val="00EF7518"/>
    <w:rsid w:val="00EF7786"/>
    <w:rsid w:val="00EF77D9"/>
    <w:rsid w:val="00EF7A51"/>
    <w:rsid w:val="00EF7B79"/>
    <w:rsid w:val="00EF7C6C"/>
    <w:rsid w:val="00EF7CAC"/>
    <w:rsid w:val="00EF7CB7"/>
    <w:rsid w:val="00EF7E81"/>
    <w:rsid w:val="00EF7FEE"/>
    <w:rsid w:val="00F000CF"/>
    <w:rsid w:val="00F001DF"/>
    <w:rsid w:val="00F0042A"/>
    <w:rsid w:val="00F00EFF"/>
    <w:rsid w:val="00F01B9A"/>
    <w:rsid w:val="00F01FFD"/>
    <w:rsid w:val="00F02140"/>
    <w:rsid w:val="00F024BD"/>
    <w:rsid w:val="00F02602"/>
    <w:rsid w:val="00F02CB5"/>
    <w:rsid w:val="00F035F2"/>
    <w:rsid w:val="00F0365D"/>
    <w:rsid w:val="00F0384F"/>
    <w:rsid w:val="00F03C92"/>
    <w:rsid w:val="00F03CDF"/>
    <w:rsid w:val="00F03D2E"/>
    <w:rsid w:val="00F04044"/>
    <w:rsid w:val="00F0433F"/>
    <w:rsid w:val="00F043E7"/>
    <w:rsid w:val="00F0470A"/>
    <w:rsid w:val="00F0485E"/>
    <w:rsid w:val="00F048F7"/>
    <w:rsid w:val="00F049F9"/>
    <w:rsid w:val="00F04B44"/>
    <w:rsid w:val="00F05271"/>
    <w:rsid w:val="00F05368"/>
    <w:rsid w:val="00F056CA"/>
    <w:rsid w:val="00F05A15"/>
    <w:rsid w:val="00F05B58"/>
    <w:rsid w:val="00F05CCE"/>
    <w:rsid w:val="00F05ED8"/>
    <w:rsid w:val="00F05F27"/>
    <w:rsid w:val="00F0603A"/>
    <w:rsid w:val="00F062E9"/>
    <w:rsid w:val="00F064B2"/>
    <w:rsid w:val="00F0653F"/>
    <w:rsid w:val="00F06B52"/>
    <w:rsid w:val="00F06C45"/>
    <w:rsid w:val="00F06CF8"/>
    <w:rsid w:val="00F06E91"/>
    <w:rsid w:val="00F075DC"/>
    <w:rsid w:val="00F076D9"/>
    <w:rsid w:val="00F07C9D"/>
    <w:rsid w:val="00F07CF5"/>
    <w:rsid w:val="00F10B29"/>
    <w:rsid w:val="00F10F17"/>
    <w:rsid w:val="00F10F1A"/>
    <w:rsid w:val="00F1147B"/>
    <w:rsid w:val="00F114FC"/>
    <w:rsid w:val="00F1178F"/>
    <w:rsid w:val="00F118E3"/>
    <w:rsid w:val="00F11CD6"/>
    <w:rsid w:val="00F120FF"/>
    <w:rsid w:val="00F121FA"/>
    <w:rsid w:val="00F1236C"/>
    <w:rsid w:val="00F123EF"/>
    <w:rsid w:val="00F124EA"/>
    <w:rsid w:val="00F126A0"/>
    <w:rsid w:val="00F12AC2"/>
    <w:rsid w:val="00F12B5B"/>
    <w:rsid w:val="00F12B8B"/>
    <w:rsid w:val="00F12BFD"/>
    <w:rsid w:val="00F12C11"/>
    <w:rsid w:val="00F12EB0"/>
    <w:rsid w:val="00F12EB4"/>
    <w:rsid w:val="00F13023"/>
    <w:rsid w:val="00F1303F"/>
    <w:rsid w:val="00F1308D"/>
    <w:rsid w:val="00F13135"/>
    <w:rsid w:val="00F13220"/>
    <w:rsid w:val="00F13297"/>
    <w:rsid w:val="00F13513"/>
    <w:rsid w:val="00F13A37"/>
    <w:rsid w:val="00F13FC7"/>
    <w:rsid w:val="00F14169"/>
    <w:rsid w:val="00F143D0"/>
    <w:rsid w:val="00F144A5"/>
    <w:rsid w:val="00F14621"/>
    <w:rsid w:val="00F1472A"/>
    <w:rsid w:val="00F14E6E"/>
    <w:rsid w:val="00F153BB"/>
    <w:rsid w:val="00F1559D"/>
    <w:rsid w:val="00F1571C"/>
    <w:rsid w:val="00F159B5"/>
    <w:rsid w:val="00F15C94"/>
    <w:rsid w:val="00F16776"/>
    <w:rsid w:val="00F1677C"/>
    <w:rsid w:val="00F168DB"/>
    <w:rsid w:val="00F16C6E"/>
    <w:rsid w:val="00F16ECD"/>
    <w:rsid w:val="00F17229"/>
    <w:rsid w:val="00F1757A"/>
    <w:rsid w:val="00F1769F"/>
    <w:rsid w:val="00F17752"/>
    <w:rsid w:val="00F177FB"/>
    <w:rsid w:val="00F17A35"/>
    <w:rsid w:val="00F20029"/>
    <w:rsid w:val="00F20096"/>
    <w:rsid w:val="00F20368"/>
    <w:rsid w:val="00F20495"/>
    <w:rsid w:val="00F206B0"/>
    <w:rsid w:val="00F20738"/>
    <w:rsid w:val="00F20906"/>
    <w:rsid w:val="00F20A88"/>
    <w:rsid w:val="00F20C94"/>
    <w:rsid w:val="00F21030"/>
    <w:rsid w:val="00F2108F"/>
    <w:rsid w:val="00F214DB"/>
    <w:rsid w:val="00F216F5"/>
    <w:rsid w:val="00F21E14"/>
    <w:rsid w:val="00F21E46"/>
    <w:rsid w:val="00F2232F"/>
    <w:rsid w:val="00F22538"/>
    <w:rsid w:val="00F227BF"/>
    <w:rsid w:val="00F22851"/>
    <w:rsid w:val="00F2315B"/>
    <w:rsid w:val="00F23822"/>
    <w:rsid w:val="00F23BA3"/>
    <w:rsid w:val="00F23EC5"/>
    <w:rsid w:val="00F245D5"/>
    <w:rsid w:val="00F24EEB"/>
    <w:rsid w:val="00F2509E"/>
    <w:rsid w:val="00F25199"/>
    <w:rsid w:val="00F2522C"/>
    <w:rsid w:val="00F25489"/>
    <w:rsid w:val="00F255CA"/>
    <w:rsid w:val="00F256CC"/>
    <w:rsid w:val="00F25C7E"/>
    <w:rsid w:val="00F25CB9"/>
    <w:rsid w:val="00F25D2E"/>
    <w:rsid w:val="00F25E64"/>
    <w:rsid w:val="00F25FE1"/>
    <w:rsid w:val="00F262AB"/>
    <w:rsid w:val="00F26592"/>
    <w:rsid w:val="00F26842"/>
    <w:rsid w:val="00F26934"/>
    <w:rsid w:val="00F26978"/>
    <w:rsid w:val="00F26AE5"/>
    <w:rsid w:val="00F26B2D"/>
    <w:rsid w:val="00F2740A"/>
    <w:rsid w:val="00F2782E"/>
    <w:rsid w:val="00F27857"/>
    <w:rsid w:val="00F27AF3"/>
    <w:rsid w:val="00F27D4D"/>
    <w:rsid w:val="00F302BF"/>
    <w:rsid w:val="00F304F9"/>
    <w:rsid w:val="00F309C1"/>
    <w:rsid w:val="00F312DA"/>
    <w:rsid w:val="00F31346"/>
    <w:rsid w:val="00F3138F"/>
    <w:rsid w:val="00F31C5D"/>
    <w:rsid w:val="00F31FF9"/>
    <w:rsid w:val="00F32874"/>
    <w:rsid w:val="00F32B85"/>
    <w:rsid w:val="00F32E5B"/>
    <w:rsid w:val="00F332EC"/>
    <w:rsid w:val="00F33518"/>
    <w:rsid w:val="00F33812"/>
    <w:rsid w:val="00F3383C"/>
    <w:rsid w:val="00F338C1"/>
    <w:rsid w:val="00F33D6F"/>
    <w:rsid w:val="00F33E18"/>
    <w:rsid w:val="00F34634"/>
    <w:rsid w:val="00F34B3A"/>
    <w:rsid w:val="00F34CD0"/>
    <w:rsid w:val="00F34D9D"/>
    <w:rsid w:val="00F35141"/>
    <w:rsid w:val="00F35434"/>
    <w:rsid w:val="00F357FF"/>
    <w:rsid w:val="00F358DA"/>
    <w:rsid w:val="00F3599E"/>
    <w:rsid w:val="00F35B4C"/>
    <w:rsid w:val="00F35C77"/>
    <w:rsid w:val="00F360E2"/>
    <w:rsid w:val="00F36367"/>
    <w:rsid w:val="00F36378"/>
    <w:rsid w:val="00F36468"/>
    <w:rsid w:val="00F3695F"/>
    <w:rsid w:val="00F36D6F"/>
    <w:rsid w:val="00F36E52"/>
    <w:rsid w:val="00F36F3C"/>
    <w:rsid w:val="00F370F3"/>
    <w:rsid w:val="00F3717B"/>
    <w:rsid w:val="00F37447"/>
    <w:rsid w:val="00F37576"/>
    <w:rsid w:val="00F3758B"/>
    <w:rsid w:val="00F375B8"/>
    <w:rsid w:val="00F377C8"/>
    <w:rsid w:val="00F37944"/>
    <w:rsid w:val="00F37B3D"/>
    <w:rsid w:val="00F37D1A"/>
    <w:rsid w:val="00F401DE"/>
    <w:rsid w:val="00F40515"/>
    <w:rsid w:val="00F40692"/>
    <w:rsid w:val="00F407EF"/>
    <w:rsid w:val="00F40E36"/>
    <w:rsid w:val="00F41013"/>
    <w:rsid w:val="00F41C0F"/>
    <w:rsid w:val="00F42474"/>
    <w:rsid w:val="00F42505"/>
    <w:rsid w:val="00F4284D"/>
    <w:rsid w:val="00F42D5F"/>
    <w:rsid w:val="00F43074"/>
    <w:rsid w:val="00F430EC"/>
    <w:rsid w:val="00F430FA"/>
    <w:rsid w:val="00F43114"/>
    <w:rsid w:val="00F4314D"/>
    <w:rsid w:val="00F431DD"/>
    <w:rsid w:val="00F43333"/>
    <w:rsid w:val="00F43385"/>
    <w:rsid w:val="00F43447"/>
    <w:rsid w:val="00F437E0"/>
    <w:rsid w:val="00F43D3A"/>
    <w:rsid w:val="00F43E0F"/>
    <w:rsid w:val="00F43E38"/>
    <w:rsid w:val="00F44069"/>
    <w:rsid w:val="00F44904"/>
    <w:rsid w:val="00F4497F"/>
    <w:rsid w:val="00F44C4A"/>
    <w:rsid w:val="00F44CCB"/>
    <w:rsid w:val="00F44F0C"/>
    <w:rsid w:val="00F452AA"/>
    <w:rsid w:val="00F45516"/>
    <w:rsid w:val="00F455E8"/>
    <w:rsid w:val="00F456B5"/>
    <w:rsid w:val="00F45A2C"/>
    <w:rsid w:val="00F45B05"/>
    <w:rsid w:val="00F46007"/>
    <w:rsid w:val="00F468E7"/>
    <w:rsid w:val="00F46A5E"/>
    <w:rsid w:val="00F46D88"/>
    <w:rsid w:val="00F470FA"/>
    <w:rsid w:val="00F47266"/>
    <w:rsid w:val="00F47447"/>
    <w:rsid w:val="00F4761B"/>
    <w:rsid w:val="00F477C7"/>
    <w:rsid w:val="00F47960"/>
    <w:rsid w:val="00F47B22"/>
    <w:rsid w:val="00F47DB3"/>
    <w:rsid w:val="00F47F39"/>
    <w:rsid w:val="00F503D2"/>
    <w:rsid w:val="00F50C8B"/>
    <w:rsid w:val="00F51390"/>
    <w:rsid w:val="00F5182A"/>
    <w:rsid w:val="00F51E77"/>
    <w:rsid w:val="00F523AF"/>
    <w:rsid w:val="00F52E40"/>
    <w:rsid w:val="00F534B8"/>
    <w:rsid w:val="00F5350C"/>
    <w:rsid w:val="00F53640"/>
    <w:rsid w:val="00F53961"/>
    <w:rsid w:val="00F53A1E"/>
    <w:rsid w:val="00F53E43"/>
    <w:rsid w:val="00F53EFC"/>
    <w:rsid w:val="00F540D2"/>
    <w:rsid w:val="00F54190"/>
    <w:rsid w:val="00F544C1"/>
    <w:rsid w:val="00F54511"/>
    <w:rsid w:val="00F54B7B"/>
    <w:rsid w:val="00F550BF"/>
    <w:rsid w:val="00F558DB"/>
    <w:rsid w:val="00F562D0"/>
    <w:rsid w:val="00F56DB6"/>
    <w:rsid w:val="00F57393"/>
    <w:rsid w:val="00F576BC"/>
    <w:rsid w:val="00F577A3"/>
    <w:rsid w:val="00F57A03"/>
    <w:rsid w:val="00F57EEA"/>
    <w:rsid w:val="00F57F8B"/>
    <w:rsid w:val="00F60423"/>
    <w:rsid w:val="00F606C5"/>
    <w:rsid w:val="00F60818"/>
    <w:rsid w:val="00F60994"/>
    <w:rsid w:val="00F60B84"/>
    <w:rsid w:val="00F60D42"/>
    <w:rsid w:val="00F60EF6"/>
    <w:rsid w:val="00F614F0"/>
    <w:rsid w:val="00F6181E"/>
    <w:rsid w:val="00F619AE"/>
    <w:rsid w:val="00F619BD"/>
    <w:rsid w:val="00F619C1"/>
    <w:rsid w:val="00F61AF9"/>
    <w:rsid w:val="00F61EFC"/>
    <w:rsid w:val="00F62577"/>
    <w:rsid w:val="00F62B88"/>
    <w:rsid w:val="00F62DF9"/>
    <w:rsid w:val="00F62EFF"/>
    <w:rsid w:val="00F63493"/>
    <w:rsid w:val="00F63DB2"/>
    <w:rsid w:val="00F63F66"/>
    <w:rsid w:val="00F64286"/>
    <w:rsid w:val="00F64A84"/>
    <w:rsid w:val="00F64CE2"/>
    <w:rsid w:val="00F64DCA"/>
    <w:rsid w:val="00F64FDB"/>
    <w:rsid w:val="00F6527F"/>
    <w:rsid w:val="00F656CA"/>
    <w:rsid w:val="00F65A61"/>
    <w:rsid w:val="00F65AA1"/>
    <w:rsid w:val="00F669B4"/>
    <w:rsid w:val="00F66EF3"/>
    <w:rsid w:val="00F67092"/>
    <w:rsid w:val="00F670DE"/>
    <w:rsid w:val="00F672F9"/>
    <w:rsid w:val="00F6735F"/>
    <w:rsid w:val="00F67730"/>
    <w:rsid w:val="00F67787"/>
    <w:rsid w:val="00F677D6"/>
    <w:rsid w:val="00F67948"/>
    <w:rsid w:val="00F67EE3"/>
    <w:rsid w:val="00F7008A"/>
    <w:rsid w:val="00F70291"/>
    <w:rsid w:val="00F7030A"/>
    <w:rsid w:val="00F70310"/>
    <w:rsid w:val="00F70660"/>
    <w:rsid w:val="00F7079E"/>
    <w:rsid w:val="00F70BED"/>
    <w:rsid w:val="00F70E79"/>
    <w:rsid w:val="00F70F18"/>
    <w:rsid w:val="00F714FF"/>
    <w:rsid w:val="00F71981"/>
    <w:rsid w:val="00F7199C"/>
    <w:rsid w:val="00F71AEC"/>
    <w:rsid w:val="00F71EBF"/>
    <w:rsid w:val="00F72331"/>
    <w:rsid w:val="00F727CA"/>
    <w:rsid w:val="00F72D57"/>
    <w:rsid w:val="00F732F9"/>
    <w:rsid w:val="00F737E0"/>
    <w:rsid w:val="00F73D06"/>
    <w:rsid w:val="00F74041"/>
    <w:rsid w:val="00F74496"/>
    <w:rsid w:val="00F7459F"/>
    <w:rsid w:val="00F7468C"/>
    <w:rsid w:val="00F747D7"/>
    <w:rsid w:val="00F74838"/>
    <w:rsid w:val="00F74E08"/>
    <w:rsid w:val="00F74F36"/>
    <w:rsid w:val="00F74FCB"/>
    <w:rsid w:val="00F7515E"/>
    <w:rsid w:val="00F7579F"/>
    <w:rsid w:val="00F75B6D"/>
    <w:rsid w:val="00F75B7B"/>
    <w:rsid w:val="00F76179"/>
    <w:rsid w:val="00F7658D"/>
    <w:rsid w:val="00F765E9"/>
    <w:rsid w:val="00F76C39"/>
    <w:rsid w:val="00F76C7D"/>
    <w:rsid w:val="00F76CEA"/>
    <w:rsid w:val="00F76E0C"/>
    <w:rsid w:val="00F77116"/>
    <w:rsid w:val="00F77C5D"/>
    <w:rsid w:val="00F77D8C"/>
    <w:rsid w:val="00F800BB"/>
    <w:rsid w:val="00F80111"/>
    <w:rsid w:val="00F80146"/>
    <w:rsid w:val="00F803E8"/>
    <w:rsid w:val="00F806D3"/>
    <w:rsid w:val="00F80942"/>
    <w:rsid w:val="00F80958"/>
    <w:rsid w:val="00F8097D"/>
    <w:rsid w:val="00F809E2"/>
    <w:rsid w:val="00F80A3C"/>
    <w:rsid w:val="00F816C6"/>
    <w:rsid w:val="00F81853"/>
    <w:rsid w:val="00F81C7B"/>
    <w:rsid w:val="00F81EE6"/>
    <w:rsid w:val="00F82556"/>
    <w:rsid w:val="00F826B0"/>
    <w:rsid w:val="00F8287B"/>
    <w:rsid w:val="00F82F32"/>
    <w:rsid w:val="00F83079"/>
    <w:rsid w:val="00F83324"/>
    <w:rsid w:val="00F834D7"/>
    <w:rsid w:val="00F83638"/>
    <w:rsid w:val="00F83A94"/>
    <w:rsid w:val="00F843F7"/>
    <w:rsid w:val="00F844A4"/>
    <w:rsid w:val="00F848B9"/>
    <w:rsid w:val="00F84D38"/>
    <w:rsid w:val="00F84FCB"/>
    <w:rsid w:val="00F854E8"/>
    <w:rsid w:val="00F85723"/>
    <w:rsid w:val="00F8578E"/>
    <w:rsid w:val="00F85CC0"/>
    <w:rsid w:val="00F85D24"/>
    <w:rsid w:val="00F85E76"/>
    <w:rsid w:val="00F86044"/>
    <w:rsid w:val="00F860F6"/>
    <w:rsid w:val="00F86522"/>
    <w:rsid w:val="00F865AC"/>
    <w:rsid w:val="00F866D0"/>
    <w:rsid w:val="00F86802"/>
    <w:rsid w:val="00F86D5E"/>
    <w:rsid w:val="00F86DE3"/>
    <w:rsid w:val="00F86E28"/>
    <w:rsid w:val="00F86F88"/>
    <w:rsid w:val="00F87636"/>
    <w:rsid w:val="00F878AD"/>
    <w:rsid w:val="00F87994"/>
    <w:rsid w:val="00F903B9"/>
    <w:rsid w:val="00F904BE"/>
    <w:rsid w:val="00F90B4B"/>
    <w:rsid w:val="00F90D02"/>
    <w:rsid w:val="00F90DD4"/>
    <w:rsid w:val="00F9148C"/>
    <w:rsid w:val="00F91559"/>
    <w:rsid w:val="00F916A1"/>
    <w:rsid w:val="00F916AF"/>
    <w:rsid w:val="00F91754"/>
    <w:rsid w:val="00F9182D"/>
    <w:rsid w:val="00F918B6"/>
    <w:rsid w:val="00F91BE3"/>
    <w:rsid w:val="00F91FBD"/>
    <w:rsid w:val="00F9226F"/>
    <w:rsid w:val="00F922D0"/>
    <w:rsid w:val="00F925C0"/>
    <w:rsid w:val="00F9261B"/>
    <w:rsid w:val="00F9262A"/>
    <w:rsid w:val="00F92757"/>
    <w:rsid w:val="00F92962"/>
    <w:rsid w:val="00F92C99"/>
    <w:rsid w:val="00F934C0"/>
    <w:rsid w:val="00F935E0"/>
    <w:rsid w:val="00F93601"/>
    <w:rsid w:val="00F93645"/>
    <w:rsid w:val="00F93850"/>
    <w:rsid w:val="00F941C5"/>
    <w:rsid w:val="00F942A5"/>
    <w:rsid w:val="00F94567"/>
    <w:rsid w:val="00F94D36"/>
    <w:rsid w:val="00F9513A"/>
    <w:rsid w:val="00F95230"/>
    <w:rsid w:val="00F955A5"/>
    <w:rsid w:val="00F95A56"/>
    <w:rsid w:val="00F96160"/>
    <w:rsid w:val="00F96255"/>
    <w:rsid w:val="00F9650F"/>
    <w:rsid w:val="00F9669C"/>
    <w:rsid w:val="00F96A8B"/>
    <w:rsid w:val="00F972DD"/>
    <w:rsid w:val="00F97437"/>
    <w:rsid w:val="00F974DA"/>
    <w:rsid w:val="00F979DA"/>
    <w:rsid w:val="00F97D0F"/>
    <w:rsid w:val="00F97DA1"/>
    <w:rsid w:val="00F97DED"/>
    <w:rsid w:val="00F97F19"/>
    <w:rsid w:val="00FA0674"/>
    <w:rsid w:val="00FA0BCE"/>
    <w:rsid w:val="00FA0C6D"/>
    <w:rsid w:val="00FA114E"/>
    <w:rsid w:val="00FA11B4"/>
    <w:rsid w:val="00FA1812"/>
    <w:rsid w:val="00FA1902"/>
    <w:rsid w:val="00FA1D30"/>
    <w:rsid w:val="00FA1E14"/>
    <w:rsid w:val="00FA22A8"/>
    <w:rsid w:val="00FA337E"/>
    <w:rsid w:val="00FA3C30"/>
    <w:rsid w:val="00FA3CFC"/>
    <w:rsid w:val="00FA3DD8"/>
    <w:rsid w:val="00FA3E43"/>
    <w:rsid w:val="00FA42EF"/>
    <w:rsid w:val="00FA5419"/>
    <w:rsid w:val="00FA56B8"/>
    <w:rsid w:val="00FA57BE"/>
    <w:rsid w:val="00FA5F92"/>
    <w:rsid w:val="00FA5FB1"/>
    <w:rsid w:val="00FA60AA"/>
    <w:rsid w:val="00FA639D"/>
    <w:rsid w:val="00FA65BB"/>
    <w:rsid w:val="00FA6634"/>
    <w:rsid w:val="00FA663A"/>
    <w:rsid w:val="00FA66F6"/>
    <w:rsid w:val="00FA6A57"/>
    <w:rsid w:val="00FA6A73"/>
    <w:rsid w:val="00FA6AD6"/>
    <w:rsid w:val="00FA6C77"/>
    <w:rsid w:val="00FA6DDD"/>
    <w:rsid w:val="00FA6FA2"/>
    <w:rsid w:val="00FA73E7"/>
    <w:rsid w:val="00FA7714"/>
    <w:rsid w:val="00FA7BC2"/>
    <w:rsid w:val="00FA7C28"/>
    <w:rsid w:val="00FA7F34"/>
    <w:rsid w:val="00FB00F5"/>
    <w:rsid w:val="00FB0198"/>
    <w:rsid w:val="00FB0389"/>
    <w:rsid w:val="00FB03E7"/>
    <w:rsid w:val="00FB0540"/>
    <w:rsid w:val="00FB0AB6"/>
    <w:rsid w:val="00FB0D83"/>
    <w:rsid w:val="00FB0F32"/>
    <w:rsid w:val="00FB11A8"/>
    <w:rsid w:val="00FB1558"/>
    <w:rsid w:val="00FB17B9"/>
    <w:rsid w:val="00FB1872"/>
    <w:rsid w:val="00FB1874"/>
    <w:rsid w:val="00FB1B5E"/>
    <w:rsid w:val="00FB1CB9"/>
    <w:rsid w:val="00FB1E04"/>
    <w:rsid w:val="00FB25B4"/>
    <w:rsid w:val="00FB2696"/>
    <w:rsid w:val="00FB2863"/>
    <w:rsid w:val="00FB2E95"/>
    <w:rsid w:val="00FB2FEE"/>
    <w:rsid w:val="00FB33E8"/>
    <w:rsid w:val="00FB3461"/>
    <w:rsid w:val="00FB359C"/>
    <w:rsid w:val="00FB3607"/>
    <w:rsid w:val="00FB37CB"/>
    <w:rsid w:val="00FB3AB7"/>
    <w:rsid w:val="00FB3CAF"/>
    <w:rsid w:val="00FB3E0B"/>
    <w:rsid w:val="00FB42A5"/>
    <w:rsid w:val="00FB4504"/>
    <w:rsid w:val="00FB48B2"/>
    <w:rsid w:val="00FB49EA"/>
    <w:rsid w:val="00FB4C1D"/>
    <w:rsid w:val="00FB4D4A"/>
    <w:rsid w:val="00FB5142"/>
    <w:rsid w:val="00FB538D"/>
    <w:rsid w:val="00FB5CEB"/>
    <w:rsid w:val="00FB5CF3"/>
    <w:rsid w:val="00FB5E73"/>
    <w:rsid w:val="00FB633B"/>
    <w:rsid w:val="00FB6579"/>
    <w:rsid w:val="00FB658D"/>
    <w:rsid w:val="00FB685C"/>
    <w:rsid w:val="00FB6874"/>
    <w:rsid w:val="00FB6888"/>
    <w:rsid w:val="00FB69C4"/>
    <w:rsid w:val="00FB6F10"/>
    <w:rsid w:val="00FB6F3B"/>
    <w:rsid w:val="00FB709D"/>
    <w:rsid w:val="00FB712F"/>
    <w:rsid w:val="00FB733E"/>
    <w:rsid w:val="00FB75A5"/>
    <w:rsid w:val="00FB7E4D"/>
    <w:rsid w:val="00FC0039"/>
    <w:rsid w:val="00FC086D"/>
    <w:rsid w:val="00FC0B64"/>
    <w:rsid w:val="00FC0EF3"/>
    <w:rsid w:val="00FC11EA"/>
    <w:rsid w:val="00FC147D"/>
    <w:rsid w:val="00FC1927"/>
    <w:rsid w:val="00FC1A50"/>
    <w:rsid w:val="00FC1B39"/>
    <w:rsid w:val="00FC1FE3"/>
    <w:rsid w:val="00FC1FFF"/>
    <w:rsid w:val="00FC2177"/>
    <w:rsid w:val="00FC21D7"/>
    <w:rsid w:val="00FC2932"/>
    <w:rsid w:val="00FC2A5D"/>
    <w:rsid w:val="00FC2CE8"/>
    <w:rsid w:val="00FC2E6D"/>
    <w:rsid w:val="00FC38CA"/>
    <w:rsid w:val="00FC4236"/>
    <w:rsid w:val="00FC4438"/>
    <w:rsid w:val="00FC460E"/>
    <w:rsid w:val="00FC47EB"/>
    <w:rsid w:val="00FC4B50"/>
    <w:rsid w:val="00FC50DE"/>
    <w:rsid w:val="00FC54D8"/>
    <w:rsid w:val="00FC5529"/>
    <w:rsid w:val="00FC5567"/>
    <w:rsid w:val="00FC5671"/>
    <w:rsid w:val="00FC56DE"/>
    <w:rsid w:val="00FC5D1C"/>
    <w:rsid w:val="00FC5EE2"/>
    <w:rsid w:val="00FC5F83"/>
    <w:rsid w:val="00FC6E05"/>
    <w:rsid w:val="00FC71DB"/>
    <w:rsid w:val="00FC7378"/>
    <w:rsid w:val="00FC742D"/>
    <w:rsid w:val="00FC7C71"/>
    <w:rsid w:val="00FD0036"/>
    <w:rsid w:val="00FD0393"/>
    <w:rsid w:val="00FD0414"/>
    <w:rsid w:val="00FD052E"/>
    <w:rsid w:val="00FD05AB"/>
    <w:rsid w:val="00FD062C"/>
    <w:rsid w:val="00FD07CF"/>
    <w:rsid w:val="00FD0F59"/>
    <w:rsid w:val="00FD10D2"/>
    <w:rsid w:val="00FD165E"/>
    <w:rsid w:val="00FD16FC"/>
    <w:rsid w:val="00FD2070"/>
    <w:rsid w:val="00FD21AC"/>
    <w:rsid w:val="00FD2214"/>
    <w:rsid w:val="00FD22E0"/>
    <w:rsid w:val="00FD235D"/>
    <w:rsid w:val="00FD26D3"/>
    <w:rsid w:val="00FD2CE2"/>
    <w:rsid w:val="00FD2FA4"/>
    <w:rsid w:val="00FD3583"/>
    <w:rsid w:val="00FD3679"/>
    <w:rsid w:val="00FD3719"/>
    <w:rsid w:val="00FD37F6"/>
    <w:rsid w:val="00FD39EA"/>
    <w:rsid w:val="00FD40F0"/>
    <w:rsid w:val="00FD4404"/>
    <w:rsid w:val="00FD448F"/>
    <w:rsid w:val="00FD4574"/>
    <w:rsid w:val="00FD45DB"/>
    <w:rsid w:val="00FD4CDB"/>
    <w:rsid w:val="00FD4EBE"/>
    <w:rsid w:val="00FD52FC"/>
    <w:rsid w:val="00FD54E9"/>
    <w:rsid w:val="00FD55B5"/>
    <w:rsid w:val="00FD564D"/>
    <w:rsid w:val="00FD5CB6"/>
    <w:rsid w:val="00FD6283"/>
    <w:rsid w:val="00FD62ED"/>
    <w:rsid w:val="00FD6E59"/>
    <w:rsid w:val="00FD7199"/>
    <w:rsid w:val="00FD7888"/>
    <w:rsid w:val="00FD7A58"/>
    <w:rsid w:val="00FD7C5E"/>
    <w:rsid w:val="00FE000B"/>
    <w:rsid w:val="00FE01A6"/>
    <w:rsid w:val="00FE117C"/>
    <w:rsid w:val="00FE121A"/>
    <w:rsid w:val="00FE1664"/>
    <w:rsid w:val="00FE1666"/>
    <w:rsid w:val="00FE17D3"/>
    <w:rsid w:val="00FE1AD8"/>
    <w:rsid w:val="00FE201F"/>
    <w:rsid w:val="00FE20C5"/>
    <w:rsid w:val="00FE2118"/>
    <w:rsid w:val="00FE22E6"/>
    <w:rsid w:val="00FE238A"/>
    <w:rsid w:val="00FE25E6"/>
    <w:rsid w:val="00FE28A4"/>
    <w:rsid w:val="00FE2B10"/>
    <w:rsid w:val="00FE303A"/>
    <w:rsid w:val="00FE307A"/>
    <w:rsid w:val="00FE3795"/>
    <w:rsid w:val="00FE3E3E"/>
    <w:rsid w:val="00FE3E87"/>
    <w:rsid w:val="00FE3EAF"/>
    <w:rsid w:val="00FE44D6"/>
    <w:rsid w:val="00FE4512"/>
    <w:rsid w:val="00FE47B8"/>
    <w:rsid w:val="00FE4C72"/>
    <w:rsid w:val="00FE4D20"/>
    <w:rsid w:val="00FE4EA0"/>
    <w:rsid w:val="00FE4F0E"/>
    <w:rsid w:val="00FE523A"/>
    <w:rsid w:val="00FE54EF"/>
    <w:rsid w:val="00FE6144"/>
    <w:rsid w:val="00FE634B"/>
    <w:rsid w:val="00FE63CA"/>
    <w:rsid w:val="00FE6622"/>
    <w:rsid w:val="00FE696C"/>
    <w:rsid w:val="00FE6972"/>
    <w:rsid w:val="00FE6A25"/>
    <w:rsid w:val="00FE6DD0"/>
    <w:rsid w:val="00FE6F90"/>
    <w:rsid w:val="00FE70F6"/>
    <w:rsid w:val="00FE720D"/>
    <w:rsid w:val="00FF074E"/>
    <w:rsid w:val="00FF0915"/>
    <w:rsid w:val="00FF09E8"/>
    <w:rsid w:val="00FF0AE6"/>
    <w:rsid w:val="00FF0BA4"/>
    <w:rsid w:val="00FF0BDB"/>
    <w:rsid w:val="00FF110A"/>
    <w:rsid w:val="00FF1197"/>
    <w:rsid w:val="00FF19F2"/>
    <w:rsid w:val="00FF1AE5"/>
    <w:rsid w:val="00FF1E25"/>
    <w:rsid w:val="00FF1FBF"/>
    <w:rsid w:val="00FF2296"/>
    <w:rsid w:val="00FF27D4"/>
    <w:rsid w:val="00FF281A"/>
    <w:rsid w:val="00FF2899"/>
    <w:rsid w:val="00FF2A92"/>
    <w:rsid w:val="00FF2C35"/>
    <w:rsid w:val="00FF3645"/>
    <w:rsid w:val="00FF385A"/>
    <w:rsid w:val="00FF3CF1"/>
    <w:rsid w:val="00FF3E14"/>
    <w:rsid w:val="00FF442E"/>
    <w:rsid w:val="00FF4AF5"/>
    <w:rsid w:val="00FF4B3A"/>
    <w:rsid w:val="00FF4FE9"/>
    <w:rsid w:val="00FF5448"/>
    <w:rsid w:val="00FF55AC"/>
    <w:rsid w:val="00FF5818"/>
    <w:rsid w:val="00FF5AA0"/>
    <w:rsid w:val="00FF5AC2"/>
    <w:rsid w:val="00FF66A2"/>
    <w:rsid w:val="00FF66F7"/>
    <w:rsid w:val="00FF694F"/>
    <w:rsid w:val="00FF69A5"/>
    <w:rsid w:val="00FF7067"/>
    <w:rsid w:val="00FF7368"/>
    <w:rsid w:val="00FF7C7B"/>
    <w:rsid w:val="00FF7CA4"/>
    <w:rsid w:val="01010305"/>
    <w:rsid w:val="0102E154"/>
    <w:rsid w:val="01478E6D"/>
    <w:rsid w:val="0248E206"/>
    <w:rsid w:val="02629DBA"/>
    <w:rsid w:val="02AB198C"/>
    <w:rsid w:val="02B622A5"/>
    <w:rsid w:val="02CCF919"/>
    <w:rsid w:val="0376178B"/>
    <w:rsid w:val="043DFF8A"/>
    <w:rsid w:val="04CEDF6F"/>
    <w:rsid w:val="04FBE735"/>
    <w:rsid w:val="052B44C1"/>
    <w:rsid w:val="05CC469A"/>
    <w:rsid w:val="0642E09D"/>
    <w:rsid w:val="06D79B3B"/>
    <w:rsid w:val="0700EB22"/>
    <w:rsid w:val="07531F45"/>
    <w:rsid w:val="07A204BA"/>
    <w:rsid w:val="08742EA6"/>
    <w:rsid w:val="088326DD"/>
    <w:rsid w:val="088B6159"/>
    <w:rsid w:val="0A25AB6B"/>
    <w:rsid w:val="0AD099F3"/>
    <w:rsid w:val="0B63CCD4"/>
    <w:rsid w:val="0BB71AF3"/>
    <w:rsid w:val="0CDF3B29"/>
    <w:rsid w:val="0CE06676"/>
    <w:rsid w:val="0E00D7EC"/>
    <w:rsid w:val="0E1D7A39"/>
    <w:rsid w:val="0EB04F1E"/>
    <w:rsid w:val="0F029007"/>
    <w:rsid w:val="0F27E7BA"/>
    <w:rsid w:val="0F6E931F"/>
    <w:rsid w:val="0F96A0A3"/>
    <w:rsid w:val="0FBB4B4A"/>
    <w:rsid w:val="0FF28FE5"/>
    <w:rsid w:val="0FFD0756"/>
    <w:rsid w:val="101E9428"/>
    <w:rsid w:val="10407C31"/>
    <w:rsid w:val="11DC4470"/>
    <w:rsid w:val="12027D0B"/>
    <w:rsid w:val="12AF0FCA"/>
    <w:rsid w:val="13566B40"/>
    <w:rsid w:val="136725AD"/>
    <w:rsid w:val="137469F2"/>
    <w:rsid w:val="1439EB45"/>
    <w:rsid w:val="144E4779"/>
    <w:rsid w:val="14BA5E0F"/>
    <w:rsid w:val="16074AA3"/>
    <w:rsid w:val="167CC120"/>
    <w:rsid w:val="171423A5"/>
    <w:rsid w:val="175A08CE"/>
    <w:rsid w:val="17E5E969"/>
    <w:rsid w:val="17EC052C"/>
    <w:rsid w:val="182C23B9"/>
    <w:rsid w:val="1943D5E5"/>
    <w:rsid w:val="196716B0"/>
    <w:rsid w:val="19A63977"/>
    <w:rsid w:val="19C90469"/>
    <w:rsid w:val="1A0D1525"/>
    <w:rsid w:val="1A23B46D"/>
    <w:rsid w:val="1AA4C0FD"/>
    <w:rsid w:val="1AC96F41"/>
    <w:rsid w:val="1C6CD1E0"/>
    <w:rsid w:val="1CEDA61B"/>
    <w:rsid w:val="1D78999A"/>
    <w:rsid w:val="1E08412A"/>
    <w:rsid w:val="1E0919E1"/>
    <w:rsid w:val="1E191536"/>
    <w:rsid w:val="1E6E2E87"/>
    <w:rsid w:val="1F41D962"/>
    <w:rsid w:val="1F9A2471"/>
    <w:rsid w:val="2032BFA6"/>
    <w:rsid w:val="2056B0AD"/>
    <w:rsid w:val="215411E0"/>
    <w:rsid w:val="21A8D8B1"/>
    <w:rsid w:val="21EDD3B8"/>
    <w:rsid w:val="223C1CA7"/>
    <w:rsid w:val="233A16D4"/>
    <w:rsid w:val="2409BC13"/>
    <w:rsid w:val="243D187C"/>
    <w:rsid w:val="2473C39C"/>
    <w:rsid w:val="265F8A6D"/>
    <w:rsid w:val="27D4C563"/>
    <w:rsid w:val="281880C2"/>
    <w:rsid w:val="297087BC"/>
    <w:rsid w:val="29A21381"/>
    <w:rsid w:val="29B94A49"/>
    <w:rsid w:val="2A0FF80A"/>
    <w:rsid w:val="2A1DA0DC"/>
    <w:rsid w:val="2A7EC95A"/>
    <w:rsid w:val="2B691192"/>
    <w:rsid w:val="2B7B819B"/>
    <w:rsid w:val="2BDDB60F"/>
    <w:rsid w:val="2C024058"/>
    <w:rsid w:val="2C3BBF98"/>
    <w:rsid w:val="2C579A4C"/>
    <w:rsid w:val="2CBBB1F4"/>
    <w:rsid w:val="2DB913DA"/>
    <w:rsid w:val="2DC0AF64"/>
    <w:rsid w:val="2EBF4623"/>
    <w:rsid w:val="2F182260"/>
    <w:rsid w:val="2F21FA10"/>
    <w:rsid w:val="2FC9EB09"/>
    <w:rsid w:val="302196B0"/>
    <w:rsid w:val="303DD6CD"/>
    <w:rsid w:val="3154A2B7"/>
    <w:rsid w:val="3185CC34"/>
    <w:rsid w:val="33C9240F"/>
    <w:rsid w:val="34289FDB"/>
    <w:rsid w:val="343D6363"/>
    <w:rsid w:val="3447AACC"/>
    <w:rsid w:val="344ADBDF"/>
    <w:rsid w:val="3458E238"/>
    <w:rsid w:val="34E82B8B"/>
    <w:rsid w:val="34EACD43"/>
    <w:rsid w:val="35C375A0"/>
    <w:rsid w:val="35D592D7"/>
    <w:rsid w:val="360FE62C"/>
    <w:rsid w:val="3991177D"/>
    <w:rsid w:val="3A08D40A"/>
    <w:rsid w:val="3A28D5FA"/>
    <w:rsid w:val="3A712DDF"/>
    <w:rsid w:val="3AA79492"/>
    <w:rsid w:val="3AE9BD42"/>
    <w:rsid w:val="3B4792BB"/>
    <w:rsid w:val="3B84237F"/>
    <w:rsid w:val="3C0306AF"/>
    <w:rsid w:val="3C301E9D"/>
    <w:rsid w:val="3C363798"/>
    <w:rsid w:val="3CAD9E43"/>
    <w:rsid w:val="3CBB20FF"/>
    <w:rsid w:val="3CE05343"/>
    <w:rsid w:val="3D56D29C"/>
    <w:rsid w:val="3DC1992F"/>
    <w:rsid w:val="3E158ACA"/>
    <w:rsid w:val="3E355AAE"/>
    <w:rsid w:val="3E564C33"/>
    <w:rsid w:val="3EA22830"/>
    <w:rsid w:val="3EAD3514"/>
    <w:rsid w:val="3F62F8C9"/>
    <w:rsid w:val="3FC4231C"/>
    <w:rsid w:val="40036AB0"/>
    <w:rsid w:val="40075229"/>
    <w:rsid w:val="40144149"/>
    <w:rsid w:val="4026AFAF"/>
    <w:rsid w:val="4049AF08"/>
    <w:rsid w:val="406781D3"/>
    <w:rsid w:val="41A4DC18"/>
    <w:rsid w:val="41F3D45A"/>
    <w:rsid w:val="41FA4716"/>
    <w:rsid w:val="421B1610"/>
    <w:rsid w:val="42B45DBF"/>
    <w:rsid w:val="42BCA854"/>
    <w:rsid w:val="44770B6D"/>
    <w:rsid w:val="449ACD1D"/>
    <w:rsid w:val="44BA1519"/>
    <w:rsid w:val="456AC6B9"/>
    <w:rsid w:val="45C26437"/>
    <w:rsid w:val="46B47171"/>
    <w:rsid w:val="4741B083"/>
    <w:rsid w:val="47CA4275"/>
    <w:rsid w:val="47D8C565"/>
    <w:rsid w:val="48230069"/>
    <w:rsid w:val="49F7507F"/>
    <w:rsid w:val="4A03FB10"/>
    <w:rsid w:val="4B5B7F45"/>
    <w:rsid w:val="4B705A6D"/>
    <w:rsid w:val="4B8E6E59"/>
    <w:rsid w:val="4B951470"/>
    <w:rsid w:val="4C21A4B0"/>
    <w:rsid w:val="4D4782C5"/>
    <w:rsid w:val="4D714384"/>
    <w:rsid w:val="4D7C3AE9"/>
    <w:rsid w:val="4DCA4F93"/>
    <w:rsid w:val="4F164269"/>
    <w:rsid w:val="4F5431FE"/>
    <w:rsid w:val="5020F9D6"/>
    <w:rsid w:val="50469DE5"/>
    <w:rsid w:val="5064CA38"/>
    <w:rsid w:val="50C65CB0"/>
    <w:rsid w:val="50E839C7"/>
    <w:rsid w:val="5135F9BC"/>
    <w:rsid w:val="513B779C"/>
    <w:rsid w:val="5156FB6F"/>
    <w:rsid w:val="516F3968"/>
    <w:rsid w:val="51B6A872"/>
    <w:rsid w:val="51FB2C84"/>
    <w:rsid w:val="52077FB1"/>
    <w:rsid w:val="522D46A2"/>
    <w:rsid w:val="52B8945E"/>
    <w:rsid w:val="54AD8600"/>
    <w:rsid w:val="552C815C"/>
    <w:rsid w:val="568436D8"/>
    <w:rsid w:val="56FCCDF0"/>
    <w:rsid w:val="571474F2"/>
    <w:rsid w:val="573D3A1F"/>
    <w:rsid w:val="574A95BA"/>
    <w:rsid w:val="574D77DD"/>
    <w:rsid w:val="57502DAB"/>
    <w:rsid w:val="583F4789"/>
    <w:rsid w:val="584F0694"/>
    <w:rsid w:val="59023B0A"/>
    <w:rsid w:val="591E194C"/>
    <w:rsid w:val="5A5C455A"/>
    <w:rsid w:val="5A89D1CD"/>
    <w:rsid w:val="5ABBEFD6"/>
    <w:rsid w:val="5C298BDA"/>
    <w:rsid w:val="5C98D8B9"/>
    <w:rsid w:val="5D72ED6E"/>
    <w:rsid w:val="5DB04327"/>
    <w:rsid w:val="5E474DAD"/>
    <w:rsid w:val="5E4A7FB2"/>
    <w:rsid w:val="5F630FB9"/>
    <w:rsid w:val="5F6C3E1E"/>
    <w:rsid w:val="5F805E29"/>
    <w:rsid w:val="5F818EEA"/>
    <w:rsid w:val="60673DEE"/>
    <w:rsid w:val="60723069"/>
    <w:rsid w:val="60D55561"/>
    <w:rsid w:val="61236825"/>
    <w:rsid w:val="612DAFAA"/>
    <w:rsid w:val="616D83AC"/>
    <w:rsid w:val="6196FF7B"/>
    <w:rsid w:val="629BA7A5"/>
    <w:rsid w:val="63AE45C4"/>
    <w:rsid w:val="63B6C920"/>
    <w:rsid w:val="64422058"/>
    <w:rsid w:val="64E725DD"/>
    <w:rsid w:val="65D21002"/>
    <w:rsid w:val="6604ECA0"/>
    <w:rsid w:val="66CC229C"/>
    <w:rsid w:val="672AA1F6"/>
    <w:rsid w:val="677E0486"/>
    <w:rsid w:val="68B8583E"/>
    <w:rsid w:val="692E88F0"/>
    <w:rsid w:val="69BF990F"/>
    <w:rsid w:val="69E658EA"/>
    <w:rsid w:val="6A912547"/>
    <w:rsid w:val="6A96684C"/>
    <w:rsid w:val="6C5C3C9C"/>
    <w:rsid w:val="6CA14232"/>
    <w:rsid w:val="6D1B2690"/>
    <w:rsid w:val="6D3AA63F"/>
    <w:rsid w:val="6DBD8949"/>
    <w:rsid w:val="6E4D5BA4"/>
    <w:rsid w:val="6E6DCD5C"/>
    <w:rsid w:val="6F366946"/>
    <w:rsid w:val="6F44D42F"/>
    <w:rsid w:val="6F452433"/>
    <w:rsid w:val="7018E304"/>
    <w:rsid w:val="70481882"/>
    <w:rsid w:val="709911B6"/>
    <w:rsid w:val="70D106E6"/>
    <w:rsid w:val="710FD2F3"/>
    <w:rsid w:val="7113B92E"/>
    <w:rsid w:val="718AA20C"/>
    <w:rsid w:val="723CC130"/>
    <w:rsid w:val="7263F562"/>
    <w:rsid w:val="73166F78"/>
    <w:rsid w:val="73B2BB08"/>
    <w:rsid w:val="73CEDE37"/>
    <w:rsid w:val="73ED6B27"/>
    <w:rsid w:val="7522C31D"/>
    <w:rsid w:val="7539E11C"/>
    <w:rsid w:val="7550C4BF"/>
    <w:rsid w:val="75F0DF25"/>
    <w:rsid w:val="76289E43"/>
    <w:rsid w:val="769D173D"/>
    <w:rsid w:val="774F3A11"/>
    <w:rsid w:val="77D9C1BA"/>
    <w:rsid w:val="78C49A7B"/>
    <w:rsid w:val="792C64E9"/>
    <w:rsid w:val="79426FAF"/>
    <w:rsid w:val="796371A6"/>
    <w:rsid w:val="79656467"/>
    <w:rsid w:val="796FDD39"/>
    <w:rsid w:val="79C17F95"/>
    <w:rsid w:val="79D4689E"/>
    <w:rsid w:val="7A465873"/>
    <w:rsid w:val="7A607179"/>
    <w:rsid w:val="7A89145B"/>
    <w:rsid w:val="7B5C847D"/>
    <w:rsid w:val="7BBBBD6B"/>
    <w:rsid w:val="7BDD95FC"/>
    <w:rsid w:val="7BF5ED78"/>
    <w:rsid w:val="7C32E277"/>
    <w:rsid w:val="7CC2CD8A"/>
    <w:rsid w:val="7D06B284"/>
    <w:rsid w:val="7D1BD1F6"/>
    <w:rsid w:val="7E7A41A5"/>
    <w:rsid w:val="7EFB1C48"/>
    <w:rsid w:val="7F156841"/>
    <w:rsid w:val="7F86AF44"/>
    <w:rsid w:val="7FB52062"/>
    <w:rsid w:val="7FB7ED3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99" w:semiHidden="0" w:name="footnote text"/>
    <w:lsdException w:qFormat="1"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lv-LV" w:eastAsia="en-US" w:bidi="ar-SA"/>
      <w14:ligatures w14:val="standardContextual"/>
    </w:rPr>
  </w:style>
  <w:style w:type="paragraph" w:styleId="2">
    <w:name w:val="heading 1"/>
    <w:basedOn w:val="1"/>
    <w:next w:val="1"/>
    <w:link w:val="39"/>
    <w:qFormat/>
    <w:uiPriority w:val="9"/>
    <w:pPr>
      <w:keepNext/>
      <w:keepLines/>
      <w:spacing w:before="360" w:after="80" w:line="240" w:lineRule="auto"/>
      <w:jc w:val="both"/>
      <w:outlineLvl w:val="0"/>
    </w:pPr>
    <w:rPr>
      <w:rFonts w:ascii="Times New Roman" w:hAnsi="Times New Roman" w:eastAsiaTheme="majorEastAsia" w:cstheme="majorBidi"/>
      <w:b/>
      <w:sz w:val="28"/>
      <w:szCs w:val="40"/>
    </w:rPr>
  </w:style>
  <w:style w:type="paragraph" w:styleId="3">
    <w:name w:val="heading 2"/>
    <w:basedOn w:val="1"/>
    <w:next w:val="1"/>
    <w:link w:val="40"/>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41"/>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42"/>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43"/>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44"/>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45"/>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46"/>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47"/>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caption"/>
    <w:basedOn w:val="1"/>
    <w:next w:val="1"/>
    <w:link w:val="71"/>
    <w:semiHidden/>
    <w:unhideWhenUsed/>
    <w:qFormat/>
    <w:uiPriority w:val="35"/>
    <w:pPr>
      <w:spacing w:after="200" w:line="240" w:lineRule="auto"/>
    </w:pPr>
    <w:rPr>
      <w:rFonts w:ascii="Georgia" w:hAnsi="Georgia"/>
      <w:i/>
      <w:iCs/>
      <w:color w:val="212121"/>
      <w:sz w:val="18"/>
      <w:szCs w:val="18"/>
      <w:lang w:val="en-GB"/>
    </w:rPr>
  </w:style>
  <w:style w:type="character" w:styleId="14">
    <w:name w:val="annotation reference"/>
    <w:basedOn w:val="11"/>
    <w:unhideWhenUsed/>
    <w:qFormat/>
    <w:uiPriority w:val="99"/>
    <w:rPr>
      <w:sz w:val="16"/>
      <w:szCs w:val="16"/>
    </w:rPr>
  </w:style>
  <w:style w:type="paragraph" w:styleId="15">
    <w:name w:val="annotation text"/>
    <w:basedOn w:val="1"/>
    <w:link w:val="64"/>
    <w:unhideWhenUsed/>
    <w:qFormat/>
    <w:uiPriority w:val="99"/>
    <w:pPr>
      <w:spacing w:line="240" w:lineRule="auto"/>
    </w:pPr>
    <w:rPr>
      <w:sz w:val="20"/>
      <w:szCs w:val="20"/>
    </w:rPr>
  </w:style>
  <w:style w:type="paragraph" w:styleId="16">
    <w:name w:val="annotation subject"/>
    <w:basedOn w:val="15"/>
    <w:next w:val="15"/>
    <w:link w:val="65"/>
    <w:semiHidden/>
    <w:unhideWhenUsed/>
    <w:qFormat/>
    <w:uiPriority w:val="99"/>
    <w:rPr>
      <w:b/>
      <w:bCs/>
    </w:rPr>
  </w:style>
  <w:style w:type="character" w:styleId="17">
    <w:name w:val="Emphasis"/>
    <w:basedOn w:val="11"/>
    <w:qFormat/>
    <w:uiPriority w:val="20"/>
    <w:rPr>
      <w:i/>
      <w:iCs/>
    </w:rPr>
  </w:style>
  <w:style w:type="character" w:styleId="18">
    <w:name w:val="FollowedHyperlink"/>
    <w:uiPriority w:val="99"/>
    <w:rPr>
      <w:rFonts w:ascii="Times New Roman" w:hAnsi="Times New Roman" w:eastAsia="Times New Roman" w:cs="Times New Roman"/>
      <w:sz w:val="20"/>
      <w:szCs w:val="20"/>
      <w:lang w:val="en-AU"/>
    </w:rPr>
  </w:style>
  <w:style w:type="paragraph" w:styleId="19">
    <w:name w:val="footer"/>
    <w:basedOn w:val="1"/>
    <w:link w:val="62"/>
    <w:unhideWhenUsed/>
    <w:uiPriority w:val="99"/>
    <w:pPr>
      <w:tabs>
        <w:tab w:val="center" w:pos="4153"/>
        <w:tab w:val="right" w:pos="8306"/>
      </w:tabs>
      <w:spacing w:after="0" w:line="240" w:lineRule="auto"/>
    </w:pPr>
  </w:style>
  <w:style w:type="character" w:styleId="20">
    <w:name w:val="footnote reference"/>
    <w:link w:val="21"/>
    <w:qFormat/>
    <w:uiPriority w:val="99"/>
    <w:rPr>
      <w:vertAlign w:val="superscript"/>
    </w:rPr>
  </w:style>
  <w:style w:type="paragraph" w:customStyle="1" w:styleId="21">
    <w:name w:val="Footnote symbol Car Zchn"/>
    <w:basedOn w:val="1"/>
    <w:link w:val="20"/>
    <w:uiPriority w:val="99"/>
    <w:pPr>
      <w:spacing w:line="240" w:lineRule="exact"/>
      <w:jc w:val="both"/>
    </w:pPr>
    <w:rPr>
      <w:vertAlign w:val="superscript"/>
    </w:rPr>
  </w:style>
  <w:style w:type="paragraph" w:styleId="22">
    <w:name w:val="footnote text"/>
    <w:basedOn w:val="1"/>
    <w:link w:val="63"/>
    <w:qFormat/>
    <w:uiPriority w:val="99"/>
    <w:pPr>
      <w:suppressAutoHyphens/>
      <w:autoSpaceDN w:val="0"/>
      <w:spacing w:after="0" w:line="240" w:lineRule="auto"/>
    </w:pPr>
    <w:rPr>
      <w:rFonts w:ascii="Calibri" w:hAnsi="Calibri" w:eastAsia="Times New Roman" w:cs="Times New Roman"/>
      <w:kern w:val="0"/>
      <w:sz w:val="20"/>
      <w:szCs w:val="20"/>
      <w:lang w:val="en-GB" w:eastAsia="en-GB"/>
      <w14:ligatures w14:val="none"/>
    </w:rPr>
  </w:style>
  <w:style w:type="paragraph" w:styleId="23">
    <w:name w:val="header"/>
    <w:basedOn w:val="1"/>
    <w:link w:val="61"/>
    <w:unhideWhenUsed/>
    <w:uiPriority w:val="99"/>
    <w:pPr>
      <w:tabs>
        <w:tab w:val="center" w:pos="4153"/>
        <w:tab w:val="right" w:pos="8306"/>
      </w:tabs>
      <w:spacing w:after="0" w:line="240" w:lineRule="auto"/>
    </w:pPr>
  </w:style>
  <w:style w:type="character" w:styleId="24">
    <w:name w:val="Hyperlink"/>
    <w:basedOn w:val="11"/>
    <w:uiPriority w:val="99"/>
    <w:rPr>
      <w:color w:val="0000FF"/>
      <w:u w:val="single"/>
    </w:rPr>
  </w:style>
  <w:style w:type="paragraph" w:styleId="2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lang w:eastAsia="lv-LV"/>
      <w14:ligatures w14:val="none"/>
    </w:rPr>
  </w:style>
  <w:style w:type="character" w:styleId="26">
    <w:name w:val="Strong"/>
    <w:basedOn w:val="11"/>
    <w:qFormat/>
    <w:uiPriority w:val="22"/>
    <w:rPr>
      <w:b/>
      <w:bCs/>
    </w:rPr>
  </w:style>
  <w:style w:type="paragraph" w:styleId="27">
    <w:name w:val="Subtitle"/>
    <w:basedOn w:val="1"/>
    <w:next w:val="1"/>
    <w:link w:val="49"/>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8">
    <w:name w:val="Table Grid"/>
    <w:basedOn w:val="12"/>
    <w:qFormat/>
    <w:uiPriority w:val="39"/>
    <w:pPr>
      <w:autoSpaceDN w:val="0"/>
      <w:spacing w:after="0" w:line="240" w:lineRule="auto"/>
      <w:jc w:val="both"/>
    </w:pPr>
    <w:rPr>
      <w:rFonts w:ascii="Calibri" w:hAnsi="Calibri" w:eastAsia="Calibri" w:cs="Times New Roman"/>
      <w:kern w:val="0"/>
      <w14:ligatures w14:val="none"/>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29">
    <w:name w:val="Title"/>
    <w:basedOn w:val="1"/>
    <w:next w:val="1"/>
    <w:link w:val="48"/>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30">
    <w:name w:val="toc 1"/>
    <w:basedOn w:val="1"/>
    <w:next w:val="1"/>
    <w:autoRedefine/>
    <w:unhideWhenUsed/>
    <w:qFormat/>
    <w:uiPriority w:val="39"/>
    <w:pPr>
      <w:spacing w:after="100"/>
    </w:pPr>
  </w:style>
  <w:style w:type="paragraph" w:styleId="31">
    <w:name w:val="toc 2"/>
    <w:basedOn w:val="1"/>
    <w:next w:val="1"/>
    <w:autoRedefine/>
    <w:unhideWhenUsed/>
    <w:qFormat/>
    <w:uiPriority w:val="39"/>
    <w:pPr>
      <w:spacing w:after="100" w:line="278" w:lineRule="auto"/>
      <w:ind w:left="240"/>
    </w:pPr>
    <w:rPr>
      <w:rFonts w:eastAsiaTheme="minorEastAsia"/>
      <w:sz w:val="24"/>
      <w:szCs w:val="24"/>
      <w:lang w:eastAsia="lv-LV"/>
    </w:rPr>
  </w:style>
  <w:style w:type="paragraph" w:styleId="32">
    <w:name w:val="toc 3"/>
    <w:basedOn w:val="1"/>
    <w:next w:val="1"/>
    <w:autoRedefine/>
    <w:unhideWhenUsed/>
    <w:qFormat/>
    <w:uiPriority w:val="39"/>
    <w:pPr>
      <w:spacing w:after="100" w:line="278" w:lineRule="auto"/>
      <w:ind w:left="480"/>
    </w:pPr>
    <w:rPr>
      <w:rFonts w:eastAsiaTheme="minorEastAsia"/>
      <w:sz w:val="24"/>
      <w:szCs w:val="24"/>
      <w:lang w:eastAsia="lv-LV"/>
    </w:rPr>
  </w:style>
  <w:style w:type="paragraph" w:styleId="33">
    <w:name w:val="toc 4"/>
    <w:basedOn w:val="1"/>
    <w:next w:val="1"/>
    <w:autoRedefine/>
    <w:unhideWhenUsed/>
    <w:qFormat/>
    <w:uiPriority w:val="39"/>
    <w:pPr>
      <w:spacing w:after="100" w:line="278" w:lineRule="auto"/>
      <w:ind w:left="720"/>
    </w:pPr>
    <w:rPr>
      <w:rFonts w:eastAsiaTheme="minorEastAsia"/>
      <w:sz w:val="24"/>
      <w:szCs w:val="24"/>
      <w:lang w:eastAsia="lv-LV"/>
    </w:rPr>
  </w:style>
  <w:style w:type="paragraph" w:styleId="34">
    <w:name w:val="toc 5"/>
    <w:basedOn w:val="1"/>
    <w:next w:val="1"/>
    <w:autoRedefine/>
    <w:unhideWhenUsed/>
    <w:qFormat/>
    <w:uiPriority w:val="39"/>
    <w:pPr>
      <w:spacing w:after="100" w:line="278" w:lineRule="auto"/>
      <w:ind w:left="960"/>
    </w:pPr>
    <w:rPr>
      <w:rFonts w:eastAsiaTheme="minorEastAsia"/>
      <w:sz w:val="24"/>
      <w:szCs w:val="24"/>
      <w:lang w:eastAsia="lv-LV"/>
    </w:rPr>
  </w:style>
  <w:style w:type="paragraph" w:styleId="35">
    <w:name w:val="toc 6"/>
    <w:basedOn w:val="1"/>
    <w:next w:val="1"/>
    <w:autoRedefine/>
    <w:unhideWhenUsed/>
    <w:qFormat/>
    <w:uiPriority w:val="39"/>
    <w:pPr>
      <w:spacing w:after="100" w:line="278" w:lineRule="auto"/>
      <w:ind w:left="1200"/>
    </w:pPr>
    <w:rPr>
      <w:rFonts w:eastAsiaTheme="minorEastAsia"/>
      <w:sz w:val="24"/>
      <w:szCs w:val="24"/>
      <w:lang w:eastAsia="lv-LV"/>
    </w:rPr>
  </w:style>
  <w:style w:type="paragraph" w:styleId="36">
    <w:name w:val="toc 7"/>
    <w:basedOn w:val="1"/>
    <w:next w:val="1"/>
    <w:autoRedefine/>
    <w:unhideWhenUsed/>
    <w:qFormat/>
    <w:uiPriority w:val="39"/>
    <w:pPr>
      <w:spacing w:after="100" w:line="278" w:lineRule="auto"/>
      <w:ind w:left="1440"/>
    </w:pPr>
    <w:rPr>
      <w:rFonts w:eastAsiaTheme="minorEastAsia"/>
      <w:sz w:val="24"/>
      <w:szCs w:val="24"/>
      <w:lang w:eastAsia="lv-LV"/>
    </w:rPr>
  </w:style>
  <w:style w:type="paragraph" w:styleId="37">
    <w:name w:val="toc 8"/>
    <w:basedOn w:val="1"/>
    <w:next w:val="1"/>
    <w:autoRedefine/>
    <w:unhideWhenUsed/>
    <w:qFormat/>
    <w:uiPriority w:val="39"/>
    <w:pPr>
      <w:spacing w:after="100" w:line="278" w:lineRule="auto"/>
      <w:ind w:left="1680"/>
    </w:pPr>
    <w:rPr>
      <w:rFonts w:eastAsiaTheme="minorEastAsia"/>
      <w:sz w:val="24"/>
      <w:szCs w:val="24"/>
      <w:lang w:eastAsia="lv-LV"/>
    </w:rPr>
  </w:style>
  <w:style w:type="paragraph" w:styleId="38">
    <w:name w:val="toc 9"/>
    <w:basedOn w:val="1"/>
    <w:next w:val="1"/>
    <w:autoRedefine/>
    <w:unhideWhenUsed/>
    <w:qFormat/>
    <w:uiPriority w:val="39"/>
    <w:pPr>
      <w:spacing w:after="100" w:line="278" w:lineRule="auto"/>
      <w:ind w:left="1920"/>
    </w:pPr>
    <w:rPr>
      <w:rFonts w:eastAsiaTheme="minorEastAsia"/>
      <w:sz w:val="24"/>
      <w:szCs w:val="24"/>
      <w:lang w:eastAsia="lv-LV"/>
    </w:rPr>
  </w:style>
  <w:style w:type="character" w:customStyle="1" w:styleId="39">
    <w:name w:val="Heading 1 Char"/>
    <w:basedOn w:val="11"/>
    <w:link w:val="2"/>
    <w:uiPriority w:val="9"/>
    <w:rPr>
      <w:rFonts w:ascii="Times New Roman" w:hAnsi="Times New Roman" w:eastAsiaTheme="majorEastAsia" w:cstheme="majorBidi"/>
      <w:b/>
      <w:sz w:val="28"/>
      <w:szCs w:val="40"/>
    </w:rPr>
  </w:style>
  <w:style w:type="character" w:customStyle="1" w:styleId="40">
    <w:name w:val="Heading 2 Char"/>
    <w:basedOn w:val="11"/>
    <w:link w:val="3"/>
    <w:semiHidden/>
    <w:uiPriority w:val="9"/>
    <w:rPr>
      <w:rFonts w:asciiTheme="majorHAnsi" w:hAnsiTheme="majorHAnsi" w:eastAsiaTheme="majorEastAsia" w:cstheme="majorBidi"/>
      <w:color w:val="2F5597" w:themeColor="accent1" w:themeShade="BF"/>
      <w:sz w:val="32"/>
      <w:szCs w:val="32"/>
    </w:rPr>
  </w:style>
  <w:style w:type="character" w:customStyle="1" w:styleId="41">
    <w:name w:val="Heading 3 Char"/>
    <w:basedOn w:val="11"/>
    <w:link w:val="4"/>
    <w:semiHidden/>
    <w:uiPriority w:val="9"/>
    <w:rPr>
      <w:rFonts w:eastAsiaTheme="majorEastAsia" w:cstheme="majorBidi"/>
      <w:color w:val="2F5597" w:themeColor="accent1" w:themeShade="BF"/>
      <w:sz w:val="28"/>
      <w:szCs w:val="28"/>
    </w:rPr>
  </w:style>
  <w:style w:type="character" w:customStyle="1" w:styleId="42">
    <w:name w:val="Heading 4 Char"/>
    <w:basedOn w:val="11"/>
    <w:link w:val="5"/>
    <w:semiHidden/>
    <w:uiPriority w:val="9"/>
    <w:rPr>
      <w:rFonts w:eastAsiaTheme="majorEastAsia" w:cstheme="majorBidi"/>
      <w:i/>
      <w:iCs/>
      <w:color w:val="2F5597" w:themeColor="accent1" w:themeShade="BF"/>
    </w:rPr>
  </w:style>
  <w:style w:type="character" w:customStyle="1" w:styleId="43">
    <w:name w:val="Heading 5 Char"/>
    <w:basedOn w:val="11"/>
    <w:link w:val="6"/>
    <w:semiHidden/>
    <w:uiPriority w:val="9"/>
    <w:rPr>
      <w:rFonts w:eastAsiaTheme="majorEastAsia" w:cstheme="majorBidi"/>
      <w:color w:val="2F5597" w:themeColor="accent1" w:themeShade="BF"/>
    </w:rPr>
  </w:style>
  <w:style w:type="character" w:customStyle="1" w:styleId="44">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45">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46">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47">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48">
    <w:name w:val="Title Char"/>
    <w:basedOn w:val="11"/>
    <w:link w:val="29"/>
    <w:uiPriority w:val="10"/>
    <w:rPr>
      <w:rFonts w:asciiTheme="majorHAnsi" w:hAnsiTheme="majorHAnsi" w:eastAsiaTheme="majorEastAsia" w:cstheme="majorBidi"/>
      <w:spacing w:val="-10"/>
      <w:kern w:val="28"/>
      <w:sz w:val="56"/>
      <w:szCs w:val="56"/>
    </w:rPr>
  </w:style>
  <w:style w:type="character" w:customStyle="1" w:styleId="49">
    <w:name w:val="Subtitle Char"/>
    <w:basedOn w:val="11"/>
    <w:link w:val="27"/>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0">
    <w:name w:val="Quote"/>
    <w:basedOn w:val="1"/>
    <w:next w:val="1"/>
    <w:link w:val="5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51">
    <w:name w:val="Quote Char"/>
    <w:basedOn w:val="11"/>
    <w:link w:val="50"/>
    <w:uiPriority w:val="29"/>
    <w:rPr>
      <w:i/>
      <w:iCs/>
      <w:color w:val="404040" w:themeColor="text1" w:themeTint="BF"/>
      <w14:textFill>
        <w14:solidFill>
          <w14:schemeClr w14:val="tx1">
            <w14:lumMod w14:val="75000"/>
            <w14:lumOff w14:val="25000"/>
          </w14:schemeClr>
        </w14:solidFill>
      </w14:textFill>
    </w:rPr>
  </w:style>
  <w:style w:type="paragraph" w:styleId="52">
    <w:name w:val="List Paragraph"/>
    <w:basedOn w:val="1"/>
    <w:link w:val="74"/>
    <w:qFormat/>
    <w:uiPriority w:val="34"/>
    <w:pPr>
      <w:ind w:left="720"/>
      <w:contextualSpacing/>
    </w:pPr>
  </w:style>
  <w:style w:type="character" w:customStyle="1" w:styleId="53">
    <w:name w:val="Intense Emphasis"/>
    <w:basedOn w:val="11"/>
    <w:qFormat/>
    <w:uiPriority w:val="21"/>
    <w:rPr>
      <w:i/>
      <w:iCs/>
      <w:color w:val="2F5597" w:themeColor="accent1" w:themeShade="BF"/>
    </w:rPr>
  </w:style>
  <w:style w:type="paragraph" w:styleId="54">
    <w:name w:val="Intense Quote"/>
    <w:basedOn w:val="1"/>
    <w:next w:val="1"/>
    <w:link w:val="55"/>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55">
    <w:name w:val="Intense Quote Char"/>
    <w:basedOn w:val="11"/>
    <w:link w:val="54"/>
    <w:uiPriority w:val="30"/>
    <w:rPr>
      <w:i/>
      <w:iCs/>
      <w:color w:val="2F5597" w:themeColor="accent1" w:themeShade="BF"/>
    </w:rPr>
  </w:style>
  <w:style w:type="character" w:customStyle="1" w:styleId="56">
    <w:name w:val="Intense Reference"/>
    <w:basedOn w:val="11"/>
    <w:qFormat/>
    <w:uiPriority w:val="32"/>
    <w:rPr>
      <w:b/>
      <w:bCs/>
      <w:smallCaps/>
      <w:color w:val="2F5597" w:themeColor="accent1" w:themeShade="BF"/>
      <w:spacing w:val="5"/>
    </w:rPr>
  </w:style>
  <w:style w:type="character" w:customStyle="1" w:styleId="57">
    <w:name w:val="ui-provider"/>
    <w:basedOn w:val="11"/>
    <w:uiPriority w:val="0"/>
  </w:style>
  <w:style w:type="paragraph" w:customStyle="1" w:styleId="58">
    <w:name w:val="tv213"/>
    <w:basedOn w:val="1"/>
    <w:uiPriority w:val="0"/>
    <w:pPr>
      <w:suppressAutoHyphens/>
      <w:autoSpaceDN w:val="0"/>
      <w:spacing w:before="100" w:after="100" w:line="240" w:lineRule="auto"/>
    </w:pPr>
    <w:rPr>
      <w:rFonts w:ascii="Times New Roman" w:hAnsi="Times New Roman" w:eastAsia="Times New Roman" w:cs="Times New Roman"/>
      <w:kern w:val="0"/>
      <w:sz w:val="24"/>
      <w:szCs w:val="24"/>
      <w:lang w:eastAsia="lv-LV"/>
      <w14:ligatures w14:val="none"/>
    </w:rPr>
  </w:style>
  <w:style w:type="paragraph" w:customStyle="1" w:styleId="59">
    <w:name w:val="Revision"/>
    <w:hidden/>
    <w:semiHidden/>
    <w:uiPriority w:val="99"/>
    <w:pPr>
      <w:spacing w:after="0" w:line="240" w:lineRule="auto"/>
    </w:pPr>
    <w:rPr>
      <w:rFonts w:asciiTheme="minorHAnsi" w:hAnsiTheme="minorHAnsi" w:eastAsiaTheme="minorHAnsi" w:cstheme="minorBidi"/>
      <w:kern w:val="2"/>
      <w:sz w:val="22"/>
      <w:szCs w:val="22"/>
      <w:lang w:val="lv-LV" w:eastAsia="en-US" w:bidi="ar-SA"/>
      <w14:ligatures w14:val="standardContextual"/>
    </w:rPr>
  </w:style>
  <w:style w:type="character" w:customStyle="1" w:styleId="60">
    <w:name w:val="normaltextrun"/>
    <w:basedOn w:val="11"/>
    <w:uiPriority w:val="0"/>
  </w:style>
  <w:style w:type="character" w:customStyle="1" w:styleId="61">
    <w:name w:val="Header Char"/>
    <w:basedOn w:val="11"/>
    <w:link w:val="23"/>
    <w:uiPriority w:val="99"/>
  </w:style>
  <w:style w:type="character" w:customStyle="1" w:styleId="62">
    <w:name w:val="Footer Char"/>
    <w:basedOn w:val="11"/>
    <w:link w:val="19"/>
    <w:uiPriority w:val="99"/>
  </w:style>
  <w:style w:type="character" w:customStyle="1" w:styleId="63">
    <w:name w:val="Footnote Text Char"/>
    <w:basedOn w:val="11"/>
    <w:link w:val="22"/>
    <w:uiPriority w:val="99"/>
    <w:rPr>
      <w:rFonts w:ascii="Calibri" w:hAnsi="Calibri" w:eastAsia="Times New Roman" w:cs="Times New Roman"/>
      <w:kern w:val="0"/>
      <w:sz w:val="20"/>
      <w:szCs w:val="20"/>
      <w:lang w:val="en-GB" w:eastAsia="en-GB"/>
      <w14:ligatures w14:val="none"/>
    </w:rPr>
  </w:style>
  <w:style w:type="character" w:customStyle="1" w:styleId="64">
    <w:name w:val="Comment Text Char"/>
    <w:basedOn w:val="11"/>
    <w:link w:val="15"/>
    <w:qFormat/>
    <w:uiPriority w:val="99"/>
    <w:rPr>
      <w:sz w:val="20"/>
      <w:szCs w:val="20"/>
    </w:rPr>
  </w:style>
  <w:style w:type="character" w:customStyle="1" w:styleId="65">
    <w:name w:val="Comment Subject Char"/>
    <w:basedOn w:val="64"/>
    <w:link w:val="16"/>
    <w:semiHidden/>
    <w:qFormat/>
    <w:uiPriority w:val="99"/>
    <w:rPr>
      <w:b/>
      <w:bCs/>
      <w:sz w:val="20"/>
      <w:szCs w:val="20"/>
    </w:rPr>
  </w:style>
  <w:style w:type="character" w:customStyle="1" w:styleId="66">
    <w:name w:val="Mention"/>
    <w:basedOn w:val="11"/>
    <w:unhideWhenUsed/>
    <w:qFormat/>
    <w:uiPriority w:val="99"/>
    <w:rPr>
      <w:color w:val="2B579A"/>
      <w:shd w:val="clear" w:color="auto" w:fill="E1DFDD"/>
    </w:rPr>
  </w:style>
  <w:style w:type="character" w:customStyle="1" w:styleId="67">
    <w:name w:val="findhit"/>
    <w:basedOn w:val="11"/>
    <w:qFormat/>
    <w:uiPriority w:val="0"/>
  </w:style>
  <w:style w:type="character" w:customStyle="1" w:styleId="68">
    <w:name w:val="spellingerror"/>
    <w:basedOn w:val="11"/>
    <w:qFormat/>
    <w:uiPriority w:val="0"/>
  </w:style>
  <w:style w:type="paragraph" w:customStyle="1" w:styleId="69">
    <w:name w:val="paragraph"/>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lang w:eastAsia="lv-LV"/>
      <w14:ligatures w14:val="none"/>
    </w:rPr>
  </w:style>
  <w:style w:type="paragraph" w:customStyle="1" w:styleId="70">
    <w:name w:val="BMT Cordah1"/>
    <w:basedOn w:val="1"/>
    <w:next w:val="1"/>
    <w:unhideWhenUsed/>
    <w:qFormat/>
    <w:uiPriority w:val="35"/>
    <w:pPr>
      <w:spacing w:after="200" w:line="240" w:lineRule="auto"/>
      <w:ind w:firstLine="720"/>
      <w:jc w:val="both"/>
    </w:pPr>
    <w:rPr>
      <w:rFonts w:ascii="Georgia" w:hAnsi="Georgia"/>
      <w:i/>
      <w:iCs/>
      <w:color w:val="212121"/>
      <w:kern w:val="0"/>
      <w:sz w:val="18"/>
      <w:szCs w:val="18"/>
      <w:lang w:val="en-GB"/>
      <w14:ligatures w14:val="none"/>
    </w:rPr>
  </w:style>
  <w:style w:type="character" w:customStyle="1" w:styleId="71">
    <w:name w:val="Caption Char"/>
    <w:basedOn w:val="11"/>
    <w:link w:val="13"/>
    <w:qFormat/>
    <w:locked/>
    <w:uiPriority w:val="35"/>
    <w:rPr>
      <w:rFonts w:ascii="Georgia" w:hAnsi="Georgia"/>
      <w:i/>
      <w:iCs/>
      <w:color w:val="212121"/>
      <w:sz w:val="18"/>
      <w:szCs w:val="18"/>
      <w:lang w:val="en-GB"/>
    </w:rPr>
  </w:style>
  <w:style w:type="character" w:customStyle="1" w:styleId="72">
    <w:name w:val="superscript"/>
    <w:basedOn w:val="11"/>
    <w:qFormat/>
    <w:uiPriority w:val="0"/>
  </w:style>
  <w:style w:type="character" w:customStyle="1" w:styleId="73">
    <w:name w:val="eop"/>
    <w:basedOn w:val="11"/>
    <w:qFormat/>
    <w:uiPriority w:val="0"/>
  </w:style>
  <w:style w:type="character" w:customStyle="1" w:styleId="74">
    <w:name w:val="List Paragraph Char"/>
    <w:link w:val="52"/>
    <w:qFormat/>
    <w:locked/>
    <w:uiPriority w:val="34"/>
  </w:style>
  <w:style w:type="paragraph" w:customStyle="1" w:styleId="75">
    <w:name w:val="TOC Heading"/>
    <w:basedOn w:val="2"/>
    <w:next w:val="1"/>
    <w:unhideWhenUsed/>
    <w:qFormat/>
    <w:uiPriority w:val="39"/>
    <w:pPr>
      <w:spacing w:before="240" w:after="0"/>
      <w:outlineLvl w:val="9"/>
    </w:pPr>
    <w:rPr>
      <w:b w:val="0"/>
      <w:kern w:val="0"/>
      <w:sz w:val="32"/>
      <w:szCs w:val="32"/>
      <w:lang w:val="en-US"/>
      <w14:ligatures w14:val="none"/>
    </w:rPr>
  </w:style>
  <w:style w:type="character" w:customStyle="1" w:styleId="76">
    <w:name w:val="Unresolved Mention"/>
    <w:basedOn w:val="11"/>
    <w:semiHidden/>
    <w:unhideWhenUsed/>
    <w:qFormat/>
    <w:uiPriority w:val="99"/>
    <w:rPr>
      <w:color w:val="605E5C"/>
      <w:shd w:val="clear" w:color="auto" w:fill="E1DFDD"/>
    </w:rPr>
  </w:style>
  <w:style w:type="character" w:customStyle="1" w:styleId="77">
    <w:name w:val="Hyperlink1"/>
    <w:basedOn w:val="11"/>
    <w:unhideWhenUsed/>
    <w:qFormat/>
    <w:uiPriority w:val="99"/>
    <w:rPr>
      <w:color w:val="0563C1"/>
      <w:u w:val="single"/>
    </w:rPr>
  </w:style>
  <w:style w:type="character" w:customStyle="1" w:styleId="78">
    <w:name w:val="tld-sibling-0-0-0"/>
    <w:basedOn w:val="11"/>
    <w:qFormat/>
    <w:uiPriority w:val="0"/>
  </w:style>
  <w:style w:type="character" w:customStyle="1" w:styleId="79">
    <w:name w:val="ng-star-inserted"/>
    <w:basedOn w:val="11"/>
    <w:qFormat/>
    <w:uiPriority w:val="0"/>
  </w:style>
  <w:style w:type="character" w:customStyle="1" w:styleId="80">
    <w:name w:val="tld-sibling-0-0-1"/>
    <w:basedOn w:val="11"/>
    <w:qFormat/>
    <w:uiPriority w:val="0"/>
  </w:style>
  <w:style w:type="character" w:customStyle="1" w:styleId="81">
    <w:name w:val="tld-sibling-0-0-3"/>
    <w:basedOn w:val="11"/>
    <w:qFormat/>
    <w:uiPriority w:val="0"/>
  </w:style>
  <w:style w:type="character" w:customStyle="1" w:styleId="82">
    <w:name w:val="tld-sibling-0-0-2"/>
    <w:basedOn w:val="11"/>
    <w:qFormat/>
    <w:uiPriority w:val="0"/>
  </w:style>
  <w:style w:type="character" w:customStyle="1" w:styleId="83">
    <w:name w:val="tld-sibling-0-0-5"/>
    <w:basedOn w:val="11"/>
    <w:qFormat/>
    <w:uiPriority w:val="0"/>
  </w:style>
  <w:style w:type="character" w:customStyle="1" w:styleId="84">
    <w:name w:val="tld-sibling-0-0-6"/>
    <w:basedOn w:val="11"/>
    <w:qFormat/>
    <w:uiPriority w:val="0"/>
  </w:style>
  <w:style w:type="character" w:customStyle="1" w:styleId="85">
    <w:name w:val="tld-sibling-0-0-7"/>
    <w:basedOn w:val="11"/>
    <w:qFormat/>
    <w:uiPriority w:val="0"/>
  </w:style>
  <w:style w:type="character" w:customStyle="1" w:styleId="86">
    <w:name w:val="tld-sibling-0-0-8"/>
    <w:basedOn w:val="11"/>
    <w:qFormat/>
    <w:uiPriority w:val="0"/>
  </w:style>
  <w:style w:type="character" w:customStyle="1" w:styleId="87">
    <w:name w:val="tld-sibling-0-0-9"/>
    <w:basedOn w:val="11"/>
    <w:qFormat/>
    <w:uiPriority w:val="0"/>
  </w:style>
  <w:style w:type="character" w:customStyle="1" w:styleId="88">
    <w:name w:val="tld-sibling-0-0-10"/>
    <w:basedOn w:val="11"/>
    <w:qFormat/>
    <w:uiPriority w:val="0"/>
  </w:style>
  <w:style w:type="character" w:customStyle="1" w:styleId="89">
    <w:name w:val="tld-sibling-0-0-11"/>
    <w:basedOn w:val="11"/>
    <w:qFormat/>
    <w:uiPriority w:val="0"/>
  </w:style>
  <w:style w:type="character" w:customStyle="1" w:styleId="90">
    <w:name w:val="tld-sibling-0-1-12"/>
    <w:basedOn w:val="11"/>
    <w:qFormat/>
    <w:uiPriority w:val="0"/>
  </w:style>
  <w:style w:type="character" w:customStyle="1" w:styleId="91">
    <w:name w:val="tld-sibling-0-1-14"/>
    <w:basedOn w:val="11"/>
    <w:qFormat/>
    <w:uiPriority w:val="0"/>
  </w:style>
  <w:style w:type="character" w:customStyle="1" w:styleId="92">
    <w:name w:val="tld-sibling-0-1-15"/>
    <w:basedOn w:val="11"/>
    <w:qFormat/>
    <w:uiPriority w:val="0"/>
  </w:style>
  <w:style w:type="character" w:customStyle="1" w:styleId="93">
    <w:name w:val="tld-sibling-0-1-16"/>
    <w:basedOn w:val="11"/>
    <w:qFormat/>
    <w:uiPriority w:val="0"/>
  </w:style>
  <w:style w:type="character" w:customStyle="1" w:styleId="94">
    <w:name w:val="tld-sibling-0-1-17"/>
    <w:basedOn w:val="11"/>
    <w:qFormat/>
    <w:uiPriority w:val="0"/>
  </w:style>
  <w:style w:type="character" w:customStyle="1" w:styleId="95">
    <w:name w:val="tld-sibling-0-1-18"/>
    <w:basedOn w:val="11"/>
    <w:qFormat/>
    <w:uiPriority w:val="0"/>
  </w:style>
  <w:style w:type="character" w:customStyle="1" w:styleId="96">
    <w:name w:val="tld-sibling-0-1-19"/>
    <w:basedOn w:val="11"/>
    <w:qFormat/>
    <w:uiPriority w:val="0"/>
  </w:style>
  <w:style w:type="character" w:customStyle="1" w:styleId="97">
    <w:name w:val="tld-sibling-0-1-21"/>
    <w:basedOn w:val="11"/>
    <w:qFormat/>
    <w:uiPriority w:val="0"/>
  </w:style>
  <w:style w:type="character" w:customStyle="1" w:styleId="98">
    <w:name w:val="tld-sibling-0-1-20"/>
    <w:basedOn w:val="11"/>
    <w:qFormat/>
    <w:uiPriority w:val="0"/>
  </w:style>
  <w:style w:type="character" w:customStyle="1" w:styleId="99">
    <w:name w:val="tld-sibling-2-0-0"/>
    <w:basedOn w:val="11"/>
    <w:qFormat/>
    <w:uiPriority w:val="0"/>
  </w:style>
  <w:style w:type="character" w:customStyle="1" w:styleId="100">
    <w:name w:val="tld-sibling-2-0-1"/>
    <w:basedOn w:val="11"/>
    <w:qFormat/>
    <w:uiPriority w:val="0"/>
  </w:style>
  <w:style w:type="character" w:customStyle="1" w:styleId="101">
    <w:name w:val="tld-sibling-2-0-2"/>
    <w:basedOn w:val="11"/>
    <w:qFormat/>
    <w:uiPriority w:val="0"/>
  </w:style>
  <w:style w:type="character" w:customStyle="1" w:styleId="102">
    <w:name w:val="tld-sibling-2-0-3"/>
    <w:basedOn w:val="11"/>
    <w:qFormat/>
    <w:uiPriority w:val="0"/>
  </w:style>
  <w:style w:type="character" w:customStyle="1" w:styleId="103">
    <w:name w:val="tld-sibling-2-0-4"/>
    <w:basedOn w:val="11"/>
    <w:qFormat/>
    <w:uiPriority w:val="0"/>
  </w:style>
  <w:style w:type="character" w:customStyle="1" w:styleId="104">
    <w:name w:val="tld-sibling-2-0-5"/>
    <w:basedOn w:val="11"/>
    <w:qFormat/>
    <w:uiPriority w:val="0"/>
  </w:style>
  <w:style w:type="character" w:customStyle="1" w:styleId="105">
    <w:name w:val="tld-sibling-2-0-6"/>
    <w:basedOn w:val="11"/>
    <w:qFormat/>
    <w:uiPriority w:val="0"/>
  </w:style>
  <w:style w:type="character" w:customStyle="1" w:styleId="106">
    <w:name w:val="tld-sibling-2-0-7"/>
    <w:basedOn w:val="11"/>
    <w:qFormat/>
    <w:uiPriority w:val="0"/>
  </w:style>
  <w:style w:type="character" w:customStyle="1" w:styleId="107">
    <w:name w:val="tld-sibling-2-0-8"/>
    <w:basedOn w:val="11"/>
    <w:qFormat/>
    <w:uiPriority w:val="0"/>
  </w:style>
  <w:style w:type="character" w:customStyle="1" w:styleId="108">
    <w:name w:val="tld-sibling-2-0-9"/>
    <w:basedOn w:val="11"/>
    <w:qFormat/>
    <w:uiPriority w:val="0"/>
  </w:style>
  <w:style w:type="character" w:customStyle="1" w:styleId="109">
    <w:name w:val="tld-sibling-2-0-10"/>
    <w:basedOn w:val="11"/>
    <w:qFormat/>
    <w:uiPriority w:val="0"/>
  </w:style>
  <w:style w:type="character" w:customStyle="1" w:styleId="110">
    <w:name w:val="tld-sibling-2-0-11"/>
    <w:basedOn w:val="11"/>
    <w:qFormat/>
    <w:uiPriority w:val="0"/>
  </w:style>
  <w:style w:type="character" w:customStyle="1" w:styleId="111">
    <w:name w:val="tld-sibling-2-0-12"/>
    <w:basedOn w:val="11"/>
    <w:qFormat/>
    <w:uiPriority w:val="0"/>
  </w:style>
  <w:style w:type="character" w:customStyle="1" w:styleId="112">
    <w:name w:val="tld-sibling-2-0-13"/>
    <w:basedOn w:val="11"/>
    <w:qFormat/>
    <w:uiPriority w:val="0"/>
  </w:style>
  <w:style w:type="character" w:customStyle="1" w:styleId="113">
    <w:name w:val="tld-sibling-2-0-14"/>
    <w:basedOn w:val="11"/>
    <w:qFormat/>
    <w:uiPriority w:val="0"/>
  </w:style>
  <w:style w:type="character" w:customStyle="1" w:styleId="114">
    <w:name w:val="tld-sibling-3-0-0"/>
    <w:basedOn w:val="11"/>
    <w:qFormat/>
    <w:uiPriority w:val="0"/>
  </w:style>
  <w:style w:type="character" w:customStyle="1" w:styleId="115">
    <w:name w:val="tld-sibling-3-0-1"/>
    <w:basedOn w:val="11"/>
    <w:qFormat/>
    <w:uiPriority w:val="0"/>
  </w:style>
  <w:style w:type="character" w:customStyle="1" w:styleId="116">
    <w:name w:val="tld-sibling-3-0-2"/>
    <w:basedOn w:val="11"/>
    <w:qFormat/>
    <w:uiPriority w:val="0"/>
  </w:style>
  <w:style w:type="character" w:customStyle="1" w:styleId="117">
    <w:name w:val="tld-sibling-3-0-3"/>
    <w:basedOn w:val="11"/>
    <w:qFormat/>
    <w:uiPriority w:val="0"/>
  </w:style>
  <w:style w:type="character" w:customStyle="1" w:styleId="118">
    <w:name w:val="tld-sibling-3-0-5"/>
    <w:basedOn w:val="11"/>
    <w:qFormat/>
    <w:uiPriority w:val="0"/>
  </w:style>
  <w:style w:type="character" w:customStyle="1" w:styleId="119">
    <w:name w:val="tld-sibling-3-0-6"/>
    <w:basedOn w:val="11"/>
    <w:qFormat/>
    <w:uiPriority w:val="0"/>
  </w:style>
  <w:style w:type="character" w:customStyle="1" w:styleId="120">
    <w:name w:val="tld-sibling-3-0-7"/>
    <w:basedOn w:val="11"/>
    <w:qFormat/>
    <w:uiPriority w:val="0"/>
  </w:style>
  <w:style w:type="character" w:customStyle="1" w:styleId="121">
    <w:name w:val="tld-sibling-3-0-8"/>
    <w:basedOn w:val="11"/>
    <w:qFormat/>
    <w:uiPriority w:val="0"/>
  </w:style>
  <w:style w:type="character" w:customStyle="1" w:styleId="122">
    <w:name w:val="tld-sibling-3-0-9"/>
    <w:basedOn w:val="11"/>
    <w:qFormat/>
    <w:uiPriority w:val="0"/>
  </w:style>
  <w:style w:type="character" w:customStyle="1" w:styleId="123">
    <w:name w:val="tld-sibling-3-0-10"/>
    <w:basedOn w:val="11"/>
    <w:qFormat/>
    <w:uiPriority w:val="0"/>
  </w:style>
  <w:style w:type="character" w:customStyle="1" w:styleId="124">
    <w:name w:val="tld-sibling-3-0-11"/>
    <w:basedOn w:val="11"/>
    <w:qFormat/>
    <w:uiPriority w:val="0"/>
  </w:style>
  <w:style w:type="character" w:customStyle="1" w:styleId="125">
    <w:name w:val="tld-sibling-3-0-12"/>
    <w:basedOn w:val="11"/>
    <w:qFormat/>
    <w:uiPriority w:val="0"/>
  </w:style>
  <w:style w:type="character" w:customStyle="1" w:styleId="126">
    <w:name w:val="tld-sibling-3-0-13"/>
    <w:basedOn w:val="11"/>
    <w:qFormat/>
    <w:uiPriority w:val="0"/>
  </w:style>
  <w:style w:type="character" w:customStyle="1" w:styleId="127">
    <w:name w:val="tld-sibling-3-0-14"/>
    <w:basedOn w:val="11"/>
    <w:qFormat/>
    <w:uiPriority w:val="0"/>
  </w:style>
  <w:style w:type="character" w:customStyle="1" w:styleId="128">
    <w:name w:val="tld-sibling-3-0-15"/>
    <w:basedOn w:val="11"/>
    <w:qFormat/>
    <w:uiPriority w:val="0"/>
  </w:style>
  <w:style w:type="character" w:customStyle="1" w:styleId="129">
    <w:name w:val="tld-sibling-3-0-16"/>
    <w:basedOn w:val="11"/>
    <w:qFormat/>
    <w:uiPriority w:val="0"/>
  </w:style>
  <w:style w:type="character" w:customStyle="1" w:styleId="130">
    <w:name w:val="tld-sibling-3-0-17"/>
    <w:basedOn w:val="11"/>
    <w:qFormat/>
    <w:uiPriority w:val="0"/>
  </w:style>
  <w:style w:type="character" w:customStyle="1" w:styleId="131">
    <w:name w:val="tld-sibling-3-0-18"/>
    <w:basedOn w:val="11"/>
    <w:qFormat/>
    <w:uiPriority w:val="0"/>
  </w:style>
  <w:style w:type="character" w:customStyle="1" w:styleId="132">
    <w:name w:val="tld-sibling-3-0-19"/>
    <w:basedOn w:val="11"/>
    <w:qFormat/>
    <w:uiPriority w:val="0"/>
  </w:style>
  <w:style w:type="character" w:customStyle="1" w:styleId="133">
    <w:name w:val="tld-sibling-3-0-20"/>
    <w:basedOn w:val="11"/>
    <w:qFormat/>
    <w:uiPriority w:val="0"/>
  </w:style>
  <w:style w:type="character" w:customStyle="1" w:styleId="134">
    <w:name w:val="tld-sibling-3-0-23"/>
    <w:basedOn w:val="11"/>
    <w:qFormat/>
    <w:uiPriority w:val="0"/>
  </w:style>
  <w:style w:type="character" w:customStyle="1" w:styleId="135">
    <w:name w:val="cf01"/>
    <w:basedOn w:val="11"/>
    <w:qFormat/>
    <w:uiPriority w:val="0"/>
    <w:rPr>
      <w:rFonts w:hint="default" w:ascii="Segoe UI" w:hAnsi="Segoe UI" w:cs="Segoe UI"/>
      <w:sz w:val="18"/>
      <w:szCs w:val="18"/>
    </w:rPr>
  </w:style>
  <w:style w:type="paragraph" w:customStyle="1" w:styleId="136">
    <w:name w:val="pf0"/>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lang w:val="en-US"/>
      <w14:ligatures w14:val="none"/>
    </w:rPr>
  </w:style>
  <w:style w:type="character" w:customStyle="1" w:styleId="137">
    <w:name w:val="scayt-misspell-word"/>
    <w:basedOn w:val="11"/>
    <w:qFormat/>
    <w:uiPriority w:val="0"/>
  </w:style>
  <w:style w:type="paragraph" w:customStyle="1" w:styleId="138">
    <w:name w:val="x_msonormal"/>
    <w:basedOn w:val="1"/>
    <w:qFormat/>
    <w:uiPriority w:val="0"/>
    <w:pPr>
      <w:spacing w:after="0" w:line="240" w:lineRule="auto"/>
    </w:pPr>
    <w:rPr>
      <w:rFonts w:ascii="Aptos" w:hAnsi="Aptos" w:cs="Calibri"/>
      <w:kern w:val="0"/>
      <w:sz w:val="24"/>
      <w:szCs w:val="24"/>
      <w:lang w:val="en-GB" w:eastAsia="en-GB"/>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5.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chart" Target="charts/chart2.xml"/><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chart" Target="charts/chart1.xml"/><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Davis\Downloads\IKR061_20240226-145307.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26949623450717"/>
          <c:y val="0.0876144962166468"/>
          <c:w val="0.891540896654811"/>
          <c:h val="0.649204602112908"/>
        </c:manualLayout>
      </c:layout>
      <c:lineChart>
        <c:grouping val="standard"/>
        <c:varyColors val="0"/>
        <c:ser>
          <c:idx val="0"/>
          <c:order val="0"/>
          <c:tx>
            <c:strRef>
              <c:f>'IKR061'!$A$4</c:f>
              <c:strCache>
                <c:ptCount val="1"/>
                <c:pt idx="0">
                  <c:v>Rīgas reģions</c:v>
                </c:pt>
              </c:strCache>
            </c:strRef>
          </c:tx>
          <c:spPr>
            <a:ln w="28575" cap="rnd">
              <a:solidFill>
                <a:schemeClr val="accent1"/>
              </a:solidFill>
              <a:round/>
            </a:ln>
            <a:effectLst/>
          </c:spPr>
          <c:marker>
            <c:symbol val="none"/>
          </c:marker>
          <c:dLbls>
            <c:delete val="1"/>
          </c:dLbls>
          <c:cat>
            <c:strRef>
              <c:f>'IKR061'!$B$3:$E$3</c:f>
              <c:strCache>
                <c:ptCount val="4"/>
                <c:pt idx="0">
                  <c:v>2018</c:v>
                </c:pt>
                <c:pt idx="1">
                  <c:v>2019</c:v>
                </c:pt>
                <c:pt idx="2">
                  <c:v>2020</c:v>
                </c:pt>
                <c:pt idx="3">
                  <c:v>2021</c:v>
                </c:pt>
              </c:strCache>
            </c:strRef>
          </c:cat>
          <c:val>
            <c:numRef>
              <c:f>'IKR061'!$B$4:$E$4</c:f>
              <c:numCache>
                <c:formatCode>#,##0</c:formatCode>
                <c:ptCount val="4"/>
                <c:pt idx="0">
                  <c:v>22078</c:v>
                </c:pt>
                <c:pt idx="1">
                  <c:v>23243</c:v>
                </c:pt>
                <c:pt idx="2">
                  <c:v>22351</c:v>
                </c:pt>
                <c:pt idx="3">
                  <c:v>25033</c:v>
                </c:pt>
              </c:numCache>
            </c:numRef>
          </c:val>
          <c:smooth val="0"/>
        </c:ser>
        <c:ser>
          <c:idx val="1"/>
          <c:order val="1"/>
          <c:tx>
            <c:strRef>
              <c:f>'IKR061'!$A$5</c:f>
              <c:strCache>
                <c:ptCount val="1"/>
                <c:pt idx="0">
                  <c:v>Vidzemes reģions</c:v>
                </c:pt>
              </c:strCache>
            </c:strRef>
          </c:tx>
          <c:spPr>
            <a:ln w="28575" cap="rnd">
              <a:solidFill>
                <a:schemeClr val="accent2"/>
              </a:solidFill>
              <a:round/>
            </a:ln>
            <a:effectLst/>
          </c:spPr>
          <c:marker>
            <c:symbol val="none"/>
          </c:marker>
          <c:dLbls>
            <c:delete val="1"/>
          </c:dLbls>
          <c:cat>
            <c:strRef>
              <c:f>'IKR061'!$B$3:$E$3</c:f>
              <c:strCache>
                <c:ptCount val="4"/>
                <c:pt idx="0">
                  <c:v>2018</c:v>
                </c:pt>
                <c:pt idx="1">
                  <c:v>2019</c:v>
                </c:pt>
                <c:pt idx="2">
                  <c:v>2020</c:v>
                </c:pt>
                <c:pt idx="3">
                  <c:v>2021</c:v>
                </c:pt>
              </c:strCache>
            </c:strRef>
          </c:cat>
          <c:val>
            <c:numRef>
              <c:f>'IKR061'!$B$5:$E$5</c:f>
              <c:numCache>
                <c:formatCode>#,##0</c:formatCode>
                <c:ptCount val="4"/>
                <c:pt idx="0">
                  <c:v>10877</c:v>
                </c:pt>
                <c:pt idx="1">
                  <c:v>11426</c:v>
                </c:pt>
                <c:pt idx="2">
                  <c:v>11875</c:v>
                </c:pt>
                <c:pt idx="3">
                  <c:v>13364</c:v>
                </c:pt>
              </c:numCache>
            </c:numRef>
          </c:val>
          <c:smooth val="0"/>
        </c:ser>
        <c:ser>
          <c:idx val="2"/>
          <c:order val="2"/>
          <c:tx>
            <c:strRef>
              <c:f>'IKR061'!$A$6</c:f>
              <c:strCache>
                <c:ptCount val="1"/>
                <c:pt idx="0">
                  <c:v>Kurzemes reģions</c:v>
                </c:pt>
              </c:strCache>
            </c:strRef>
          </c:tx>
          <c:spPr>
            <a:ln w="28575" cap="rnd">
              <a:solidFill>
                <a:schemeClr val="accent3"/>
              </a:solidFill>
              <a:round/>
            </a:ln>
            <a:effectLst/>
          </c:spPr>
          <c:marker>
            <c:symbol val="none"/>
          </c:marker>
          <c:dLbls>
            <c:delete val="1"/>
          </c:dLbls>
          <c:cat>
            <c:strRef>
              <c:f>'IKR061'!$B$3:$E$3</c:f>
              <c:strCache>
                <c:ptCount val="4"/>
                <c:pt idx="0">
                  <c:v>2018</c:v>
                </c:pt>
                <c:pt idx="1">
                  <c:v>2019</c:v>
                </c:pt>
                <c:pt idx="2">
                  <c:v>2020</c:v>
                </c:pt>
                <c:pt idx="3">
                  <c:v>2021</c:v>
                </c:pt>
              </c:strCache>
            </c:strRef>
          </c:cat>
          <c:val>
            <c:numRef>
              <c:f>'IKR061'!$B$6:$E$6</c:f>
              <c:numCache>
                <c:formatCode>#,##0</c:formatCode>
                <c:ptCount val="4"/>
                <c:pt idx="0">
                  <c:v>10242</c:v>
                </c:pt>
                <c:pt idx="1">
                  <c:v>10816</c:v>
                </c:pt>
                <c:pt idx="2">
                  <c:v>10910</c:v>
                </c:pt>
                <c:pt idx="3">
                  <c:v>12116</c:v>
                </c:pt>
              </c:numCache>
            </c:numRef>
          </c:val>
          <c:smooth val="0"/>
        </c:ser>
        <c:ser>
          <c:idx val="3"/>
          <c:order val="3"/>
          <c:tx>
            <c:strRef>
              <c:f>'IKR061'!$A$7</c:f>
              <c:strCache>
                <c:ptCount val="1"/>
                <c:pt idx="0">
                  <c:v>Zemgales reģions</c:v>
                </c:pt>
              </c:strCache>
            </c:strRef>
          </c:tx>
          <c:spPr>
            <a:ln w="28575" cap="rnd">
              <a:solidFill>
                <a:schemeClr val="accent4"/>
              </a:solidFill>
              <a:round/>
            </a:ln>
            <a:effectLst/>
          </c:spPr>
          <c:marker>
            <c:symbol val="none"/>
          </c:marker>
          <c:dLbls>
            <c:delete val="1"/>
          </c:dLbls>
          <c:cat>
            <c:strRef>
              <c:f>'IKR061'!$B$3:$E$3</c:f>
              <c:strCache>
                <c:ptCount val="4"/>
                <c:pt idx="0">
                  <c:v>2018</c:v>
                </c:pt>
                <c:pt idx="1">
                  <c:v>2019</c:v>
                </c:pt>
                <c:pt idx="2">
                  <c:v>2020</c:v>
                </c:pt>
                <c:pt idx="3">
                  <c:v>2021</c:v>
                </c:pt>
              </c:strCache>
            </c:strRef>
          </c:cat>
          <c:val>
            <c:numRef>
              <c:f>'IKR061'!$B$7:$E$7</c:f>
              <c:numCache>
                <c:formatCode>#,##0</c:formatCode>
                <c:ptCount val="4"/>
                <c:pt idx="0">
                  <c:v>9808</c:v>
                </c:pt>
                <c:pt idx="1">
                  <c:v>10101</c:v>
                </c:pt>
                <c:pt idx="2">
                  <c:v>11217</c:v>
                </c:pt>
                <c:pt idx="3">
                  <c:v>11974</c:v>
                </c:pt>
              </c:numCache>
            </c:numRef>
          </c:val>
          <c:smooth val="0"/>
        </c:ser>
        <c:ser>
          <c:idx val="4"/>
          <c:order val="4"/>
          <c:tx>
            <c:strRef>
              <c:f>'IKR061'!$A$8</c:f>
              <c:strCache>
                <c:ptCount val="1"/>
                <c:pt idx="0">
                  <c:v>Latgales reģions</c:v>
                </c:pt>
              </c:strCache>
            </c:strRef>
          </c:tx>
          <c:spPr>
            <a:ln w="28575" cap="rnd">
              <a:solidFill>
                <a:schemeClr val="accent5"/>
              </a:solidFill>
              <a:round/>
            </a:ln>
            <a:effectLst/>
          </c:spPr>
          <c:marker>
            <c:symbol val="none"/>
          </c:marker>
          <c:dLbls>
            <c:delete val="1"/>
          </c:dLbls>
          <c:cat>
            <c:strRef>
              <c:f>'IKR061'!$B$3:$E$3</c:f>
              <c:strCache>
                <c:ptCount val="4"/>
                <c:pt idx="0">
                  <c:v>2018</c:v>
                </c:pt>
                <c:pt idx="1">
                  <c:v>2019</c:v>
                </c:pt>
                <c:pt idx="2">
                  <c:v>2020</c:v>
                </c:pt>
                <c:pt idx="3">
                  <c:v>2021</c:v>
                </c:pt>
              </c:strCache>
            </c:strRef>
          </c:cat>
          <c:val>
            <c:numRef>
              <c:f>'IKR061'!$B$8:$E$8</c:f>
              <c:numCache>
                <c:formatCode>#,##0</c:formatCode>
                <c:ptCount val="4"/>
                <c:pt idx="0">
                  <c:v>7054</c:v>
                </c:pt>
                <c:pt idx="1">
                  <c:v>7677</c:v>
                </c:pt>
                <c:pt idx="2">
                  <c:v>7777</c:v>
                </c:pt>
                <c:pt idx="3">
                  <c:v>8833</c:v>
                </c:pt>
              </c:numCache>
            </c:numRef>
          </c:val>
          <c:smooth val="0"/>
        </c:ser>
        <c:dLbls>
          <c:showLegendKey val="0"/>
          <c:showVal val="0"/>
          <c:showCatName val="0"/>
          <c:showSerName val="0"/>
          <c:showPercent val="0"/>
          <c:showBubbleSize val="0"/>
        </c:dLbls>
        <c:marker val="0"/>
        <c:smooth val="0"/>
        <c:axId val="113349120"/>
        <c:axId val="113339760"/>
      </c:lineChart>
      <c:catAx>
        <c:axId val="11334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charset="0"/>
                <a:ea typeface="+mn-ea"/>
                <a:cs typeface="Times New Roman" panose="02020603050405020304" charset="0"/>
              </a:defRPr>
            </a:pPr>
          </a:p>
        </c:txPr>
        <c:crossAx val="113339760"/>
        <c:crosses val="autoZero"/>
        <c:auto val="1"/>
        <c:lblAlgn val="ctr"/>
        <c:lblOffset val="100"/>
        <c:noMultiLvlLbl val="0"/>
      </c:catAx>
      <c:valAx>
        <c:axId val="113339760"/>
        <c:scaling>
          <c:orientation val="minMax"/>
          <c:max val="27000"/>
          <c:min val="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113349120"/>
        <c:crosses val="autoZero"/>
        <c:crossBetween val="between"/>
        <c:majorUnit val="3000"/>
      </c:valAx>
      <c:spPr>
        <a:noFill/>
        <a:ln>
          <a:noFill/>
        </a:ln>
        <a:effectLst/>
      </c:spPr>
    </c:plotArea>
    <c:legend>
      <c:legendPos val="b"/>
      <c:layout>
        <c:manualLayout>
          <c:xMode val="edge"/>
          <c:yMode val="edge"/>
          <c:x val="0.00427435387673956"/>
          <c:y val="0.881488594413503"/>
          <c:w val="0.989463220675944"/>
          <c:h val="0.085991080383244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4d977362-8c73-45eb-82e4-b7705b8c40a1}"/>
      </c:ext>
    </c:extLst>
  </c:chart>
  <c:spPr>
    <a:solidFill>
      <a:schemeClr val="bg1"/>
    </a:solidFill>
    <a:ln w="9525" cap="flat" cmpd="sng" algn="ctr">
      <a:solidFill>
        <a:schemeClr val="tx1">
          <a:lumMod val="15000"/>
          <a:lumOff val="85000"/>
        </a:schemeClr>
      </a:solidFill>
      <a:round/>
    </a:ln>
    <a:effectLst/>
  </c:spPr>
  <c:txPr>
    <a:bodyPr/>
    <a:lstStyle/>
    <a:p>
      <a:pPr>
        <a:defRPr lang="en-US">
          <a:solidFill>
            <a:schemeClr val="tx1"/>
          </a:solidFill>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milj. EUR (no 363,59 milj. EUR)</c:v>
                </c:pt>
              </c:strCache>
            </c:strRef>
          </c:tx>
          <c:spPr>
            <a:solidFill>
              <a:srgbClr val="BED096"/>
            </a:solidFill>
            <a:ln>
              <a:noFill/>
            </a:ln>
            <a:effectLst/>
          </c:spPr>
          <c:invertIfNegative val="0"/>
          <c:dLbls>
            <c:dLbl>
              <c:idx val="2"/>
              <c:layout>
                <c:manualLayout>
                  <c:x val="-0.0044855617009321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chemeClr val="bg1">
                  <a:alpha val="70000"/>
                </a:schemeClr>
              </a:solid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dk1"/>
                    </a:solidFill>
                    <a:latin typeface="Times New Roman" panose="02020603050405020304" charset="0"/>
                    <a:ea typeface="Verdana" panose="020B06040305040B0204" pitchFamily="34" charset="0"/>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3">
                          <a:lumMod val="60000"/>
                          <a:lumOff val="40000"/>
                        </a:schemeClr>
                      </a:solidFill>
                    </a:ln>
                    <a:effectLst/>
                  </c:spPr>
                </c15:leaderLines>
              </c:ext>
            </c:extLst>
          </c:dLbls>
          <c:cat>
            <c:strRef>
              <c:f>Sheet1!$A$2:$A$6</c:f>
              <c:strCache>
                <c:ptCount val="5"/>
                <c:pt idx="0">
                  <c:v>Latgale</c:v>
                </c:pt>
                <c:pt idx="1">
                  <c:v>Vidzeme</c:v>
                </c:pt>
                <c:pt idx="2">
                  <c:v>Zemgale</c:v>
                </c:pt>
                <c:pt idx="3">
                  <c:v>Kurzeme</c:v>
                </c:pt>
                <c:pt idx="4">
                  <c:v>Rīgas reģions</c:v>
                </c:pt>
              </c:strCache>
            </c:strRef>
          </c:cat>
          <c:val>
            <c:numRef>
              <c:f>Sheet1!$B$2:$B$6</c:f>
              <c:numCache>
                <c:formatCode>General</c:formatCode>
                <c:ptCount val="5"/>
                <c:pt idx="0">
                  <c:v>89.04</c:v>
                </c:pt>
                <c:pt idx="1">
                  <c:v>75.82</c:v>
                </c:pt>
                <c:pt idx="2">
                  <c:v>74.26</c:v>
                </c:pt>
                <c:pt idx="3">
                  <c:v>74.51</c:v>
                </c:pt>
                <c:pt idx="4">
                  <c:v>49.95</c:v>
                </c:pt>
              </c:numCache>
            </c:numRef>
          </c:val>
        </c:ser>
        <c:dLbls>
          <c:showLegendKey val="0"/>
          <c:showVal val="1"/>
          <c:showCatName val="0"/>
          <c:showSerName val="0"/>
          <c:showPercent val="0"/>
          <c:showBubbleSize val="0"/>
        </c:dLbls>
        <c:gapWidth val="269"/>
        <c:overlap val="-20"/>
        <c:axId val="1977940544"/>
        <c:axId val="1977944384"/>
      </c:barChart>
      <c:catAx>
        <c:axId val="1977940544"/>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3">
                <a:lumMod val="60000"/>
                <a:lumOff val="40000"/>
              </a:schemeClr>
            </a:solidFill>
            <a:round/>
          </a:ln>
          <a:effectLst/>
        </c:spPr>
        <c:txPr>
          <a:bodyPr rot="-60000000" spcFirstLastPara="1" vertOverflow="ellipsis" vert="horz" wrap="square" anchor="ctr" anchorCtr="1"/>
          <a:lstStyle/>
          <a:p>
            <a:pPr>
              <a:defRPr lang="en-US" sz="800" b="0" i="0" u="none" strike="noStrike" kern="1200" cap="all" spc="150" normalizeH="0" baseline="0">
                <a:solidFill>
                  <a:schemeClr val="dk1"/>
                </a:solidFill>
                <a:latin typeface="Times New Roman" panose="02020603050405020304" charset="0"/>
                <a:ea typeface="Verdana" panose="020B06040305040B0204" pitchFamily="34" charset="0"/>
                <a:cs typeface="Times New Roman" panose="02020603050405020304" charset="0"/>
              </a:defRPr>
            </a:pPr>
          </a:p>
        </c:txPr>
        <c:crossAx val="1977944384"/>
        <c:crosses val="autoZero"/>
        <c:auto val="0"/>
        <c:lblAlgn val="ctr"/>
        <c:lblOffset val="100"/>
        <c:noMultiLvlLbl val="0"/>
      </c:catAx>
      <c:valAx>
        <c:axId val="1977944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dk1"/>
                </a:solidFill>
                <a:latin typeface="Times New Roman" panose="02020603050405020304" charset="0"/>
                <a:ea typeface="Verdana" panose="020B06040305040B0204" pitchFamily="34" charset="0"/>
                <a:cs typeface="Times New Roman" panose="02020603050405020304" charset="0"/>
              </a:defRPr>
            </a:pPr>
          </a:p>
        </c:txPr>
        <c:crossAx val="1977940544"/>
        <c:crosses val="autoZero"/>
        <c:crossBetween val="between"/>
      </c:valAx>
      <c:spPr>
        <a:noFill/>
        <a:ln>
          <a:noFill/>
        </a:ln>
        <a:effectLst/>
      </c:spPr>
    </c:plotArea>
    <c:plotVisOnly val="1"/>
    <c:dispBlanksAs val="gap"/>
    <c:showDLblsOverMax val="0"/>
    <c:extLst>
      <c:ext uri="{0b15fc19-7d7d-44ad-8c2d-2c3a37ce22c3}">
        <chartProps xmlns="https://web.wps.cn/et/2018/main" chartId="{3a2bf384-3432-4d60-b536-4d08af685bb7}"/>
      </c:ext>
    </c:extLst>
  </c:chart>
  <c:spPr>
    <a:solidFill>
      <a:schemeClr val="lt1"/>
    </a:solidFill>
    <a:ln w="25400" cap="flat" cmpd="sng" algn="ctr">
      <a:noFill/>
      <a:prstDash val="solid"/>
      <a:round/>
    </a:ln>
    <a:effectLst/>
  </c:spPr>
  <c:txPr>
    <a:bodyPr/>
    <a:lstStyle/>
    <a:p>
      <a:pPr>
        <a:defRPr lang="en-US">
          <a:solidFill>
            <a:schemeClr val="dk1"/>
          </a:solidFill>
          <a:latin typeface="Times New Roman" panose="02020603050405020304" charset="0"/>
          <a:ea typeface="Verdana" panose="020B06040305040B0204" pitchFamily="3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1195"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5"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fillRef idx="0">
      <cs:styleClr val="auto"/>
    </cs:fillRef>
    <cs:effectRef idx="0"/>
    <cs:fontRef idx="minor">
      <a:schemeClr val="lt1"/>
    </cs:fontRef>
    <cs:spPr>
      <a:solidFill>
        <a:schemeClr val="phClr">
          <a:alpha val="70000"/>
        </a:schemeClr>
      </a:solidFill>
    </cs:spPr>
    <cs:defRPr sz="1195" kern="1200"/>
  </cs:dataLabel>
  <cs:dataLabelCallout>
    <cs:lnRef idx="0">
      <cs:styleClr val="auto"/>
    </cs:lnRef>
    <cs:fillRef idx="0"/>
    <cs:effectRef idx="0"/>
    <cs:fontRef idx="minor">
      <cs:styleClr val="auto"/>
    </cs:fontRef>
    <cs:spPr>
      <a:solidFill>
        <a:schemeClr val="lt1"/>
      </a:solidFill>
      <a:ln>
        <a:solidFill>
          <a:schemeClr val="phClr"/>
        </a:solidFill>
      </a:ln>
    </cs:spPr>
    <cs:defRPr sz="1195"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5"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5"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5"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5"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5"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kuments" ma:contentTypeID="0x010100667AD451B437284393D39498E788D012" ma:contentTypeVersion="16" ma:contentTypeDescription="Izveidot jaunu dokumentu." ma:contentTypeScope="" ma:versionID="eb118a2c589208f0e20fd95cd73f1a77">
  <xsd:schema xmlns:xsd="http://www.w3.org/2001/XMLSchema" xmlns:xs="http://www.w3.org/2001/XMLSchema" xmlns:p="http://schemas.microsoft.com/office/2006/metadata/properties" xmlns:ns2="2048be11-5002-450c-8e3b-782732941017" xmlns:ns3="f7e7d789-9268-4b55-8873-a73e5b415d66" targetNamespace="http://schemas.microsoft.com/office/2006/metadata/properties" ma:root="true" ma:fieldsID="9e5dcbc519a2436c3eae95d94feb4bd8" ns2:_="" ns3:_="">
    <xsd:import namespace="2048be11-5002-450c-8e3b-782732941017"/>
    <xsd:import namespace="f7e7d789-9268-4b55-8873-a73e5b415d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8be11-5002-450c-8e3b-7827329410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7d789-9268-4b55-8873-a73e5b415d66"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CatchAll" ma:index="14" nillable="true" ma:displayName="Taxonomy Catch All Column" ma:hidden="true" ma:list="{c648655c-5c52-4057-8b3e-ccfd248cba54}" ma:internalName="TaxCatchAll" ma:showField="CatchAllData" ma:web="f7e7d789-9268-4b55-8873-a73e5b415d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048be11-5002-450c-8e3b-782732941017">
      <Terms xmlns="http://schemas.microsoft.com/office/infopath/2007/PartnerControls"/>
    </lcf76f155ced4ddcb4097134ff3c332f>
    <TaxCatchAll xmlns="f7e7d789-9268-4b55-8873-a73e5b415d66" xsi:nil="true"/>
    <SharedWithUsers xmlns="f7e7d789-9268-4b55-8873-a73e5b415d66">
      <UserInfo>
        <DisplayName>Jevgēnija Butņicka</DisplayName>
        <AccountId>18</AccountId>
        <AccountType/>
      </UserInfo>
      <UserInfo>
        <DisplayName>Ilze Jureviča</DisplayName>
        <AccountId>37</AccountId>
        <AccountType/>
      </UserInfo>
      <UserInfo>
        <DisplayName>Zigmārs Erts</DisplayName>
        <AccountId>34</AccountId>
        <AccountType/>
      </UserInfo>
      <UserInfo>
        <DisplayName>Dāvis Melnalksnis</DisplayName>
        <AccountId>27</AccountId>
        <AccountType/>
      </UserInfo>
      <UserInfo>
        <DisplayName>Ieva Strode</DisplayName>
        <AccountId>140</AccountId>
        <AccountType/>
      </UserInfo>
      <UserInfo>
        <DisplayName>Maija Kamoliņa</DisplayName>
        <AccountId>16</AccountId>
        <AccountType/>
      </UserInfo>
    </SharedWithUser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626B00-6828-47C1-9A92-2E7340BD9E8F}">
  <ds:schemaRefs/>
</ds:datastoreItem>
</file>

<file path=customXml/itemProps3.xml><?xml version="1.0" encoding="utf-8"?>
<ds:datastoreItem xmlns:ds="http://schemas.openxmlformats.org/officeDocument/2006/customXml" ds:itemID="{749E630E-D085-4D01-8F96-CF34694BD2BE}">
  <ds:schemaRefs/>
</ds:datastoreItem>
</file>

<file path=customXml/itemProps4.xml><?xml version="1.0" encoding="utf-8"?>
<ds:datastoreItem xmlns:ds="http://schemas.openxmlformats.org/officeDocument/2006/customXml" ds:itemID="{2C922ADA-0048-44FD-90F2-CEDD3B44EA95}">
  <ds:schemaRefs/>
</ds:datastoreItem>
</file>

<file path=customXml/itemProps5.xml><?xml version="1.0" encoding="utf-8"?>
<ds:datastoreItem xmlns:ds="http://schemas.openxmlformats.org/officeDocument/2006/customXml" ds:itemID="{7B5BFA68-51D9-4B37-814B-0F9CC2F6C4D4}">
  <ds:schemaRefs/>
</ds:datastoreItem>
</file>

<file path=docProps/app.xml><?xml version="1.0" encoding="utf-8"?>
<Properties xmlns="http://schemas.openxmlformats.org/officeDocument/2006/extended-properties" xmlns:vt="http://schemas.openxmlformats.org/officeDocument/2006/docPropsVTypes">
  <Template>Normal</Template>
  <Pages>63</Pages>
  <Words>73142</Words>
  <Characters>41692</Characters>
  <Lines>347</Lines>
  <Paragraphs>229</Paragraphs>
  <TotalTime>106</TotalTime>
  <ScaleCrop>false</ScaleCrop>
  <LinksUpToDate>false</LinksUpToDate>
  <CharactersWithSpaces>114605</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2024-10-29T07:52:00Z</dcterms:created>
  <dc:creator>Ilze Jureviča</dc:creator>
  <cp:lastModifiedBy>User</cp:lastModifiedBy>
  <cp:lastPrinted>2024-10-03T22:36:00Z</cp:lastPrinted>
  <dcterms:modified xsi:type="dcterms:W3CDTF">2024-11-12T04:44:28Z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0x010100667AD451B437284393D39498E788D012</vt:lpwstr>
  </property>
  <property fmtid="{D5CDD505-2E9C-101B-9397-08002B2CF9AE}" pid="3" name="MediaServiceImageTags">
    <vt:lpwstr/>
  </property>
  <property fmtid="{D5CDD505-2E9C-101B-9397-08002B2CF9AE}" pid="4" name="KSOProductBuildVer">
    <vt:lpwstr>1033-12.2.0.18607</vt:lpwstr>
  </property>
  <property fmtid="{D5CDD505-2E9C-101B-9397-08002B2CF9AE}" pid="5" name="ICV">
    <vt:lpwstr>48C6C7DD3A62424BA30B9CF973647BAD_13</vt:lpwstr>
  </property>
</Properties>
</file>